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rPr>
          <w:lang w:val="pl-PL"/>
        </w:rPr>
      </w:pPr>
      <w:r>
        <w:rPr>
          <w:rFonts w:eastAsia="Calibri"/>
          <w:b/>
          <w:color w:val="000000"/>
          <w:sz w:val="18"/>
          <w:lang w:val="pl-PL"/>
        </w:rPr>
        <w:t>INTEGRITYPHASE  |  DOKUMENT PRAWNY B2B/API</w:t>
      </w:r>
    </w:p>
    <w:p>
      <w:pPr>
        <w:pStyle w:val="Title"/>
        <w:keepNext/>
        <w:spacing w:after="140"/>
        <w:rPr>
          <w:lang w:val="pl-PL"/>
        </w:rPr>
      </w:pPr>
      <w:r>
        <w:rPr>
          <w:rFonts w:eastAsia="Calibri"/>
          <w:b/>
          <w:color w:val="000000"/>
          <w:sz w:val="42"/>
          <w:lang w:val="pl-PL"/>
        </w:rPr>
        <w:t>REGULAMIN USŁUGI B2B API INTEGRITYPHASE</w:t>
      </w:r>
    </w:p>
    <w:tbl>
      <w:tblPr>
        <w:tblW w:w="9412" w:type="dxa"/>
        <w:tblInd w:w="120" w:type="dxa"/>
        <w:tblBorders>
          <w:top w:val="single" w:sz="4" w:space="0" w:color="C9D2DD"/>
          <w:left w:val="single" w:sz="4" w:space="0" w:color="C9D2DD"/>
          <w:bottom w:val="single" w:sz="4" w:space="0" w:color="C9D2DD"/>
          <w:right w:val="single" w:sz="4" w:space="0" w:color="C9D2DD"/>
          <w:insideH w:val="single" w:sz="4" w:space="0" w:color="C9D2DD"/>
          <w:insideV w:val="single" w:sz="4" w:space="0" w:color="C9D2DD"/>
        </w:tblBorders>
        <w:tblLayout w:type="fixed"/>
        <w:tblLook w:val="04A0"/>
      </w:tblPr>
      <w:tblGrid>
        <w:gridCol w:w="1550"/>
        <w:gridCol w:w="7862"/>
      </w:tblGrid>
      <w:tr>
        <w:tc>
          <w:tcPr>
            <w:tcW w:w="1550" w:type="dxa"/>
            <w:shd w:val="clear" w:color="auto" w:fill="E8EEF5"/>
            <w:tcMar>
              <w:top w:w="90" w:type="dxa"/>
              <w:left w:w="120" w:type="dxa"/>
              <w:bottom w:w="90" w:type="dxa"/>
              <w:right w:w="120" w:type="dxa"/>
            </w:tcMar>
            <w:vAlign w:val="center"/>
          </w:tcPr>
          <w:p>
            <w:pPr>
              <w:spacing w:after="0"/>
            </w:pPr>
            <w:r>
              <w:rPr>
                <w:rFonts w:eastAsia="Calibri"/>
                <w:b/>
                <w:color w:val="000000"/>
                <w:sz w:val="18"/>
                <w:lang w:val="pl-PL"/>
              </w:rPr>
              <w:t>Status</w:t>
            </w:r>
          </w:p>
        </w:tc>
        <w:tc>
          <w:tcPr>
            <w:tcW w:w="7862" w:type="dxa"/>
            <w:tcMar>
              <w:top w:w="90" w:type="dxa"/>
              <w:left w:w="120" w:type="dxa"/>
              <w:bottom w:w="90" w:type="dxa"/>
              <w:right w:w="120" w:type="dxa"/>
            </w:tcMar>
            <w:vAlign w:val="center"/>
          </w:tcPr>
          <w:p>
            <w:r>
              <w:t xml:space="preserve">DOKUMENT DLA KLIENTA</w:t>
            </w:r>
          </w:p>
        </w:tc>
      </w:tr>
      <w:tr>
        <w:tc>
          <w:tcPr>
            <w:tcW w:w="1550" w:type="dxa"/>
            <w:shd w:val="clear" w:color="auto" w:fill="E8EEF5"/>
            <w:tcMar>
              <w:top w:w="90" w:type="dxa"/>
              <w:left w:w="120" w:type="dxa"/>
              <w:bottom w:w="90" w:type="dxa"/>
              <w:right w:w="120" w:type="dxa"/>
            </w:tcMar>
            <w:vAlign w:val="center"/>
          </w:tcPr>
          <w:p>
            <w:pPr>
              <w:spacing w:after="0"/>
            </w:pPr>
            <w:r>
              <w:rPr>
                <w:rFonts w:eastAsia="Calibri"/>
                <w:b/>
                <w:color w:val="000000"/>
                <w:sz w:val="18"/>
                <w:lang w:val="pl-PL"/>
              </w:rPr>
              <w:t>Wersja</w:t>
            </w:r>
          </w:p>
        </w:tc>
        <w:tc>
          <w:tcPr>
            <w:tcW w:w="7862" w:type="dxa"/>
            <w:tcMar>
              <w:top w:w="90" w:type="dxa"/>
              <w:left w:w="120" w:type="dxa"/>
              <w:bottom w:w="90" w:type="dxa"/>
              <w:right w:w="120" w:type="dxa"/>
            </w:tcMar>
            <w:vAlign w:val="center"/>
          </w:tcPr>
          <w:p>
            <w:r>
              <w:t>1.5.2_2026-09-30</w:t>
            </w:r>
          </w:p>
        </w:tc>
      </w:tr>
    </w:tbl>
    <w:p>
      <w:pPr>
        <w:spacing w:after="0"/>
      </w:pPr>
    </w:p>
    <w:p>
      <w:r>
        <w:t xml:space="preserve">Regulamin 1.5.2 z 30 września 2026 r. określa warunki automatycznego zakupu jednej Usługi przez Agenta osoby prawnej oraz otrzymania przenośnego, podpisanego Proofu kontroli komunikatu API/webhook. Obejmuje zasady dostępu, płatności, odpowiedzialności i reklamacji. Ceny określa Załącznik nr 1, a warunki obsługi Usługi — Załącznik nr 2.</w:t>
      </w:r>
    </w:p>
    <w:p>
      <w:pPr>
        <w:pStyle w:val="Nagwek1"/>
      </w:pPr>
      <w:r>
        <w:rPr>
          <w:rFonts w:eastAsia="Calibri"/>
          <w:lang w:val="pl-PL"/>
        </w:rPr>
        <w:t>1. Operator i charakter dokumentu</w:t>
      </w:r>
    </w:p>
    <w:p>
      <w:pPr>
        <w:keepLines/>
        <w:numPr>
          <w:ilvl w:val="0"/>
          <w:numId w:val="10"/>
        </w:numPr>
        <w:rPr>
          <w:lang w:val="pl-PL"/>
        </w:rPr>
      </w:pPr>
      <w:r>
        <w:rPr>
          <w:rFonts w:eastAsia="Calibri"/>
          <w:color w:val="000000"/>
          <w:lang w:val="pl-PL"/>
        </w:rPr>
        <w:t>Operatorem usługi IntegrityPhase jest Marcin Podskarbi, prowadzący działalność gospodarczą pod firmą Marcin Podskarbi Prototype 1/2 Lab, NIP 6222767998, REGON 545123210, adres: Rolna 18A, 62-002 Suchy Las, dalej „Operator”.</w:t>
      </w:r>
    </w:p>
    <w:p>
      <w:pPr>
        <w:keepLines/>
        <w:numPr>
          <w:ilvl w:val="0"/>
          <w:numId w:val="10"/>
        </w:numPr>
        <w:rPr>
          <w:lang w:val="pl-PL"/>
        </w:rPr>
      </w:pPr>
      <w:r>
        <w:rPr>
          <w:rFonts w:eastAsia="Calibri"/>
          <w:color w:val="000000"/>
          <w:lang w:val="pl-PL"/>
        </w:rPr>
        <w:t>Kontakt ogólny z Operatorem odbywa się pod adresem contact@integrityphase.com.</w:t>
      </w:r>
    </w:p>
    <w:p>
      <w:pPr>
        <w:keepLines/>
        <w:numPr>
          <w:ilvl w:val="0"/>
          <w:numId w:val="10"/>
        </w:numPr>
        <w:rPr>
          <w:lang w:val="pl-PL"/>
        </w:rPr>
      </w:pPr>
      <w:r>
        <w:rPr>
          <w:rFonts w:eastAsia="Calibri"/>
          <w:color w:val="000000"/>
          <w:lang w:val="pl-PL"/>
        </w:rPr>
        <w:t>Kontakt dotyczący wsparcia i reklamacji odbywa się pod adresem support@integrityphase.com.</w:t>
      </w:r>
    </w:p>
    <w:p>
      <w:pPr>
        <w:keepLines/>
        <w:numPr>
          <w:ilvl w:val="0"/>
          <w:numId w:val="10"/>
        </w:numPr>
        <w:rPr>
          <w:lang w:val="pl-PL"/>
        </w:rPr>
      </w:pPr>
      <w:r>
        <w:rPr>
          <w:rFonts w:eastAsia="Calibri"/>
          <w:color w:val="000000"/>
          <w:lang w:val="pl-PL"/>
        </w:rPr>
        <w:t>Kontakt dotyczący prywatności i danych osobowych odbywa się pod adresem privacy@integrityphase.com.</w:t>
      </w:r>
    </w:p>
    <w:p>
      <w:pPr>
        <w:keepLines/>
        <w:numPr>
          <w:ilvl w:val="0"/>
          <w:numId w:val="10"/>
        </w:numPr>
        <w:rPr>
          <w:lang w:val="pl-PL"/>
        </w:rPr>
      </w:pPr>
      <w:r>
        <w:rPr>
          <w:rFonts w:eastAsia="Calibri"/>
          <w:color w:val="000000"/>
          <w:lang w:val="pl-PL"/>
        </w:rPr>
        <w:t xml:space="preserve">Regulamin określa zasady świadczenia drogą elektroniczną własnej technicznej Usługi B2B/API </w:t>
      </w:r>
      <w:proofErr w:type="spellStart"/>
      <w:r>
        <w:rPr>
          <w:rFonts w:eastAsia="Calibri"/>
          <w:color w:val="000000"/>
          <w:lang w:val="pl-PL"/>
        </w:rPr>
        <w:t>IntegrityPhase</w:t>
      </w:r>
      <w:proofErr w:type="spellEnd"/>
      <w:r>
        <w:rPr>
          <w:rFonts w:eastAsia="Calibri"/>
          <w:color w:val="000000"/>
          <w:lang w:val="pl-PL"/>
        </w:rPr>
        <w:t>.</w:t>
      </w:r>
    </w:p>
    <w:p>
      <w:pPr>
        <w:keepLines/>
        <w:numPr>
          <w:ilvl w:val="0"/>
          <w:numId w:val="10"/>
        </w:numPr>
        <w:rPr>
          <w:lang w:val="pl-PL"/>
        </w:rPr>
      </w:pPr>
      <w:r>
        <w:t>W wersji pilotażowej Klientem może być wyłącznie podmiot posiadający osobowość prawną według prawa państwa utworzenia, z siedzibą w Polsce albo innym państwie Unii Europejskiej, nabywający Usługę wyłącznie w związku ze swoją działalnością, o ile Klient i planowane zastosowanie są nieregulowane w rozumieniu Regulaminu.</w:t>
      </w:r>
    </w:p>
    <w:p>
      <w:pPr>
        <w:keepLines/>
        <w:numPr>
          <w:ilvl w:val="0"/>
          <w:numId w:val="10"/>
        </w:numPr>
        <w:rPr>
          <w:lang w:val="pl-PL"/>
        </w:rPr>
      </w:pPr>
      <w:r>
        <w:t>Korzystanie z Usługi przez konsumentów, wszystkie osoby fizyczne, w tym osoby prowadzące jednoosobową działalność gospodarczą i ich odpowiedniki w innych państwach, oraz podmioty nieposiadające osobowości prawnej jest wyłączone.</w:t>
      </w:r>
    </w:p>
    <w:p>
      <w:pPr>
        <w:pStyle w:val="Nagwek1"/>
      </w:pPr>
      <w:r>
        <w:rPr>
          <w:rFonts w:eastAsia="Calibri"/>
          <w:lang w:val="pl-PL"/>
        </w:rPr>
        <w:t>2. Definicje</w:t>
      </w:r>
    </w:p>
    <w:p>
      <w:pPr>
        <w:keepLines/>
        <w:numPr>
          <w:ilvl w:val="0"/>
          <w:numId w:val="11"/>
        </w:numPr>
        <w:rPr>
          <w:lang w:val="pl-PL"/>
        </w:rPr>
      </w:pPr>
      <w:r>
        <w:rPr>
          <w:rFonts w:eastAsia="Calibri"/>
          <w:b/>
          <w:color w:val="000000"/>
          <w:lang w:val="pl-PL"/>
        </w:rPr>
        <w:t>API – interfejs programistyczny IntegrityPhase, w którym jedyną publiczną metodą wykonującą płatną Operację jest POST /verify/webhook-integrity o identyfikatorze webhook_integrity.v1; publiczne zasoby informacyjne i odczytowe nie stanowią odrębnych produktów ani Operacji.</w:t>
      </w:r>
    </w:p>
    <w:p>
      <w:pPr>
        <w:keepLines/>
        <w:numPr>
          <w:ilvl w:val="0"/>
          <w:numId w:val="11"/>
        </w:numPr>
        <w:rPr>
          <w:lang w:val="pl-PL"/>
        </w:rPr>
      </w:pPr>
      <w:r>
        <w:t>Buyer Binding lub Credential – indywidualne, odwoływalne związanie zwalidowanego Klienta, Delegacji, Agenta, Walleta, źródła webhooka i zakresu Usługi; nie jest dowodem umocowania samym w sobie.</w:t>
      </w:r>
    </w:p>
    <w:p>
      <w:pPr>
        <w:keepLines/>
        <w:numPr>
          <w:ilvl w:val="0"/>
          <w:numId w:val="11"/>
        </w:numPr>
        <w:rPr>
          <w:lang w:val="pl-PL"/>
        </w:rPr>
      </w:pPr>
      <w:r>
        <w:rPr>
          <w:rFonts w:eastAsia="Calibri"/>
          <w:b/>
          <w:color w:val="000000"/>
          <w:lang w:val="pl-PL"/>
        </w:rPr>
        <w:t>Dokumentacja API – aktualna dokumentacja techniczna udostępniana Klientowi elektronicznie w procesie rejestracji oraz podczas korzystania z Usługi.</w:t>
      </w:r>
    </w:p>
    <w:p>
      <w:pPr>
        <w:keepLines/>
        <w:numPr>
          <w:ilvl w:val="0"/>
          <w:numId w:val="11"/>
        </w:numPr>
        <w:rPr>
          <w:lang w:val="pl-PL"/>
        </w:rPr>
      </w:pPr>
      <w:r>
        <w:rPr>
          <w:rFonts w:eastAsia="Calibri"/>
          <w:b/>
          <w:color w:val="000000"/>
          <w:lang w:val="pl-PL"/>
        </w:rPr>
        <w:t>DPA – ramowa umowa powierzenia przetwarzania danych osobowych, akceptowana obowiązkowo w każdym automatycznym onboardingu przed utworzeniem Buyer Bindingu. Agent musi mieć uprawnienie enter_dpa. Obowiązki powierzenia dotyczą danych osobowych rzeczywiście przetwarzanych w imieniu Klienta; sama akceptacja DPA nie oznacza, że Payload zawiera dane osobowe, ani nie rozszerza dopuszczonego zakresu danych.</w:t>
      </w:r>
    </w:p>
    <w:p>
      <w:pPr/>
      <w:r>
        <w:t>Automatyczny onboarding B2B – publicznie dostępny dla agentów maszynowy proces zebrania danych osoby prawnej, Delegacji, Agenta i Walleta, automatycznej walidacji warunków dostępu, akceptacji dokumentów i utworzenia Buyer Bindingu; działa fail-closed i nie wymaga ręcznej zgody Operatora na normalny zakup.</w:t>
      </w:r>
    </w:p>
    <w:p>
      <w:pPr/>
      <w:r>
        <w:t>Delegacja — elektroniczny pakiet wiążący Klienta, Agenta, Wallet, dozwolone działania, limity, ważność i odwołanie. W profilu deklarowanego upoważnienia pakiet zawiera podpisane przez Agenta oświadczenie, że wskazana firma udzieliła mu tych uprawnień. IntegrityPhase sprawdza podpis i ograniczenia pakietu, lecz nie potwierdza niezależnie reprezentanta ani udzielenia Delegacji przez firmę.</w:t>
      </w:r>
    </w:p>
    <w:p>
      <w:pPr>
        <w:keepLines/>
        <w:numPr>
          <w:ilvl w:val="0"/>
          <w:numId w:val="11"/>
        </w:numPr>
        <w:rPr>
          <w:lang w:val="pl-PL"/>
        </w:rPr>
      </w:pPr>
      <w:r>
        <w:t>Integracja – system, agent albo API client Klienta komunikujący się z API w zakresie dopuszczonym ważną Delegacją i Buyer Bindingiem.</w:t>
      </w:r>
    </w:p>
    <w:p>
      <w:pPr>
        <w:keepLines/>
        <w:numPr>
          <w:ilvl w:val="0"/>
          <w:numId w:val="11"/>
        </w:numPr>
        <w:rPr>
          <w:lang w:val="pl-PL"/>
        </w:rPr>
      </w:pPr>
      <w:r>
        <w:t>Agent – autonomiczny techniczny klient API działający w imieniu Klienta, identyfikowany kluczem publicznym lub jego fingerprintem i uprawniony wyłącznie w granicach ważnej Delegacji.</w:t>
      </w:r>
    </w:p>
    <w:p>
      <w:pPr>
        <w:keepLines/>
        <w:numPr>
          <w:ilvl w:val="0"/>
          <w:numId w:val="11"/>
        </w:numPr>
        <w:rPr>
          <w:lang w:val="pl-PL"/>
        </w:rPr>
      </w:pPr>
      <w:r>
        <w:t>Klient – osoba prawna z siedzibą w Polsce albo innym państwie Unii Europejskiej, będąca stroną Umowy i nabywająca Usługę B2B.</w:t>
      </w:r>
    </w:p>
    <w:p>
      <w:pPr>
        <w:keepLines/>
        <w:numPr>
          <w:ilvl w:val="0"/>
          <w:numId w:val="11"/>
        </w:numPr>
        <w:rPr>
          <w:lang w:val="pl-PL"/>
        </w:rPr>
      </w:pPr>
      <w:r>
        <w:t>Nieregulowany Klient i nieregulowane zastosowanie – osoba prawna spełniająca warunki terytorialne z pkt 1 oraz planowany sposób korzystania wyłącznie z webhook_integrity.v1, które zgodnie z danymi i oświadczeniami przedstawionymi w automatycznym onboardingu nie wymagają szczególnego zezwolenia, wpisu, nadzoru ani sektorowych warunków dostępu i nie należą do kategorii wyłączonych w pkt 11. Operator utrwala wynik kontroli, lecz nie dokonuje ogólnej kwalifikacji prawnej działalności Klienta.</w:t>
      </w:r>
    </w:p>
    <w:p>
      <w:pPr>
        <w:keepLines/>
        <w:numPr>
          <w:ilvl w:val="0"/>
          <w:numId w:val="11"/>
        </w:numPr>
        <w:rPr>
          <w:lang w:val="pl-PL"/>
        </w:rPr>
      </w:pPr>
      <w:r>
        <w:rPr>
          <w:rFonts w:eastAsia="Calibri"/>
          <w:b/>
          <w:color w:val="000000"/>
          <w:lang w:val="pl-PL"/>
        </w:rPr>
        <w:t>Operacja – pojedyncze zaakceptowane Żądanie POST /verify/webhook-integrity prowadzące do jednego Wyniku technicznego webhook_integrity.v1.</w:t>
      </w:r>
    </w:p>
    <w:p>
      <w:pPr>
        <w:keepLines/>
        <w:numPr>
          <w:ilvl w:val="0"/>
          <w:numId w:val="11"/>
        </w:numPr>
        <w:rPr>
          <w:lang w:val="pl-PL"/>
        </w:rPr>
      </w:pPr>
      <w:proofErr w:type="spellStart"/>
      <w:r>
        <w:rPr>
          <w:rFonts w:eastAsia="Calibri"/>
          <w:b/>
          <w:color w:val="000000"/>
          <w:lang w:val="pl-PL"/>
        </w:rPr>
        <w:t>Payload</w:t>
      </w:r>
      <w:proofErr w:type="spellEnd"/>
      <w:r>
        <w:rPr>
          <w:rFonts w:eastAsia="Calibri"/>
          <w:color w:val="000000"/>
          <w:lang w:val="pl-PL"/>
        </w:rPr>
        <w:t xml:space="preserve"> – dane przekazane przez Klienta w Żądaniu.</w:t>
      </w:r>
    </w:p>
    <w:p>
      <w:pPr>
        <w:keepLines/>
        <w:numPr>
          <w:ilvl w:val="0"/>
          <w:numId w:val="11"/>
        </w:numPr>
        <w:rPr>
          <w:lang w:val="pl-PL"/>
        </w:rPr>
      </w:pPr>
      <w:r>
        <w:rPr>
          <w:rFonts w:eastAsia="Calibri"/>
          <w:b/>
          <w:color w:val="000000"/>
          <w:lang w:val="pl-PL"/>
        </w:rPr>
        <w:t>Polityka cenowa – zasady wynagrodzenia Operatora określone w Załączniku nr 1: 20 EUR netto za jedną Operację, powiększone o właściwy VAT, rozliczane wyłącznie w EURC w modelu x402.</w:t>
      </w:r>
    </w:p>
    <w:p>
      <w:pPr/>
      <w:r>
        <w:t>Webhook – komunikat HTTP dotyczący zdarzenia wskazanego przez Klienta, którego integralność techniczna jest sprawdzana w ramach Operacji webhook_integrity.v1.</w:t>
      </w:r>
    </w:p>
    <w:p>
      <w:pPr>
        <w:keepLines/>
        <w:numPr>
          <w:ilvl w:val="0"/>
          <w:numId w:val="11"/>
        </w:numPr>
        <w:rPr>
          <w:lang w:val="pl-PL"/>
        </w:rPr>
      </w:pPr>
      <w:proofErr w:type="spellStart"/>
      <w:proofErr w:type="spellEnd"/>
      <w:r>
        <w:rPr>
          <w:rFonts w:eastAsia="Calibri"/>
          <w:b/>
          <w:color w:val="000000"/>
          <w:lang w:val="pl-PL"/>
        </w:rPr>
        <w:t>Wartość referencyjna – event_value_eur, czyli zadeklarowana przez Klienta wartość jednej bazowej Operacji, wykorzystywana wyłącznie jako parametr bezpieczeństwa i dopuszczalności Operacji, nie jako podstawa obliczenia ceny Usługi; musi być wyrażona w EUR, mieć najwyżej dwa miejsca po przecinku i mieścić się w przedziale od 100,00 EUR do 200,00 EUR włącznie. Bazowa Operacja jest identyfikowana przez base_operation_id umieszczony w podpisanym Żądaniu i związany z Buyer Bindingiem, buyer_id, source_id, Walletem, Delegacją oraz event_id.</w:t>
      </w:r>
    </w:p>
    <w:p>
      <w:pPr>
        <w:keepLines/>
        <w:numPr>
          <w:ilvl w:val="0"/>
          <w:numId w:val="11"/>
        </w:numPr>
        <w:rPr>
          <w:lang w:val="pl-PL"/>
        </w:rPr>
      </w:pPr>
      <w:r>
        <w:rPr>
          <w:rFonts w:eastAsia="Calibri"/>
          <w:b/>
          <w:color w:val="000000"/>
          <w:lang w:val="pl-PL"/>
        </w:rPr>
        <w:t>Wynik techniczny lub Proof – przenośne, podpisane poświadczenie wykonanych przez IntegrityPhase kontroli komunikatu API/webhook, obejmujące dane wyniku i dowody określone w Dokumentacji API, umożliwiające niezależną weryfikację podpisu, integralności i powiązań. Obejmuje wymagany artifact, pakiet dowodowy i receipt; sam status przetwarzania nie jest kompletnym Proofem.</w:t>
      </w:r>
    </w:p>
    <w:p>
      <w:pPr>
        <w:keepLines/>
        <w:numPr>
          <w:ilvl w:val="0"/>
          <w:numId w:val="11"/>
        </w:numPr>
        <w:rPr>
          <w:lang w:val="pl-PL"/>
        </w:rPr>
      </w:pPr>
      <w:r>
        <w:rPr>
          <w:rFonts w:eastAsia="Calibri"/>
          <w:b/>
          <w:color w:val="000000"/>
          <w:lang w:val="pl-PL"/>
        </w:rPr>
        <w:t>Żądanie</w:t>
      </w:r>
      <w:r>
        <w:rPr>
          <w:rFonts w:eastAsia="Calibri"/>
          <w:color w:val="000000"/>
          <w:lang w:val="pl-PL"/>
        </w:rPr>
        <w:t xml:space="preserve"> – komunikat przesłany do API przez Klienta, jego system, Integrację albo agenta.</w:t>
      </w:r>
    </w:p>
    <w:p>
      <w:pPr>
        <w:keepLines/>
        <w:numPr>
          <w:ilvl w:val="0"/>
          <w:numId w:val="11"/>
        </w:numPr>
        <w:rPr>
          <w:lang w:val="pl-PL"/>
        </w:rPr>
      </w:pPr>
      <w:r>
        <w:rPr>
          <w:rFonts w:eastAsia="Calibri"/>
          <w:b/>
          <w:color w:val="000000"/>
          <w:lang w:val="pl-PL"/>
        </w:rPr>
        <w:t>Umowa</w:t>
      </w:r>
      <w:r>
        <w:rPr>
          <w:rFonts w:eastAsia="Calibri"/>
          <w:color w:val="000000"/>
          <w:lang w:val="pl-PL"/>
        </w:rPr>
        <w:t xml:space="preserve"> – umowa o świadczenie Usługi zawarta zgodnie z Regulaminem.</w:t>
      </w:r>
    </w:p>
    <w:p>
      <w:pPr>
        <w:keepLines/>
        <w:numPr>
          <w:ilvl w:val="0"/>
          <w:numId w:val="11"/>
        </w:numPr>
        <w:rPr>
          <w:lang w:val="pl-PL"/>
        </w:rPr>
      </w:pPr>
      <w:r>
        <w:rPr>
          <w:rFonts w:eastAsia="Calibri"/>
          <w:b/>
          <w:color w:val="000000"/>
          <w:lang w:val="pl-PL"/>
        </w:rPr>
        <w:t>Usługa – własna techniczna usługa B2B/API świadczona przez Operatora, polegająca wyłącznie na sprawdzeniu integralności technicznej zdarzenia webhook/API metodą webhook_integrity.v1 i zwróceniu Wyniku technicznego.</w:t>
      </w:r>
    </w:p>
    <w:p>
      <w:pPr>
        <w:pStyle w:val="Nagwek1"/>
      </w:pPr>
      <w:r>
        <w:rPr>
          <w:rFonts w:eastAsia="Calibri"/>
          <w:lang w:val="pl-PL"/>
        </w:rPr>
        <w:t>3. Zakres Usługi</w:t>
      </w:r>
    </w:p>
    <w:p>
      <w:pPr>
        <w:keepLines/>
        <w:numPr>
          <w:ilvl w:val="0"/>
          <w:numId w:val="12"/>
        </w:numPr>
        <w:rPr>
          <w:lang w:val="pl-PL"/>
        </w:rPr>
      </w:pPr>
      <w:r>
        <w:t>IntegrityPhase wykonuje wyłącznie techniczne sprawdzenie integralności zdarzenia przekazanego w Żądaniu POST /verify/webhook-integrity, zgodnie z Buyer Bindingiem, zakresem ważnej Delegacji i Dokumentacją API.</w:t>
      </w:r>
    </w:p>
    <w:p>
      <w:pPr>
        <w:keepLines/>
        <w:numPr>
          <w:ilvl w:val="0"/>
          <w:numId w:val="12"/>
        </w:numPr>
        <w:rPr>
          <w:lang w:val="pl-PL"/>
        </w:rPr>
      </w:pPr>
      <w:r>
        <w:rPr>
          <w:rFonts w:eastAsia="Calibri"/>
          <w:color w:val="000000"/>
          <w:lang w:val="pl-PL"/>
        </w:rPr>
        <w:t>Sprawdzenie webhook_integrity.v1 może obejmować w szczególności:</w:t>
      </w:r>
    </w:p>
    <w:p>
      <w:pPr>
        <w:keepLines/>
        <w:numPr>
          <w:ilvl w:val="0"/>
          <w:numId w:val="13"/>
        </w:numPr>
        <w:spacing w:after="60"/>
        <w:rPr>
          <w:lang w:val="pl-PL"/>
        </w:rPr>
      </w:pPr>
      <w:r>
        <w:rPr>
          <w:rFonts w:eastAsia="Calibri"/>
          <w:color w:val="000000"/>
          <w:lang w:val="pl-PL"/>
        </w:rPr>
        <w:t>zgodność formatu i schematu Żądania;</w:t>
      </w:r>
    </w:p>
    <w:p>
      <w:pPr>
        <w:keepLines/>
        <w:numPr>
          <w:ilvl w:val="0"/>
          <w:numId w:val="13"/>
        </w:numPr>
        <w:spacing w:after="60"/>
        <w:rPr>
          <w:lang w:val="pl-PL"/>
        </w:rPr>
      </w:pPr>
      <w:r>
        <w:rPr>
          <w:rFonts w:eastAsia="Calibri"/>
          <w:color w:val="000000"/>
          <w:lang w:val="pl-PL"/>
        </w:rPr>
        <w:t xml:space="preserve">poprawność znacznika czasu, </w:t>
      </w:r>
      <w:proofErr w:type="spellStart"/>
      <w:r>
        <w:rPr>
          <w:rFonts w:eastAsia="Calibri"/>
          <w:color w:val="000000"/>
          <w:lang w:val="pl-PL"/>
        </w:rPr>
        <w:t>nonce</w:t>
      </w:r>
      <w:proofErr w:type="spellEnd"/>
      <w:r>
        <w:rPr>
          <w:rFonts w:eastAsia="Calibri"/>
          <w:color w:val="000000"/>
          <w:lang w:val="pl-PL"/>
        </w:rPr>
        <w:t xml:space="preserve"> albo mechanizmu replay;</w:t>
      </w:r>
    </w:p>
    <w:p>
      <w:pPr>
        <w:keepLines/>
        <w:numPr>
          <w:ilvl w:val="0"/>
          <w:numId w:val="13"/>
        </w:numPr>
        <w:spacing w:after="60"/>
        <w:rPr>
          <w:lang w:val="pl-PL"/>
        </w:rPr>
      </w:pPr>
      <w:r>
        <w:rPr>
          <w:rFonts w:eastAsia="Calibri"/>
          <w:color w:val="000000"/>
          <w:lang w:val="pl-PL"/>
        </w:rPr>
        <w:t>zgodność z techniczną polityką skonfigurowaną dla Klienta;</w:t>
      </w:r>
    </w:p>
    <w:p>
      <w:pPr>
        <w:keepLines/>
        <w:numPr>
          <w:ilvl w:val="0"/>
          <w:numId w:val="13"/>
        </w:numPr>
        <w:spacing w:after="60"/>
      </w:pPr>
      <w:r>
        <w:rPr>
          <w:rFonts w:eastAsia="Calibri"/>
          <w:color w:val="000000"/>
          <w:lang w:val="pl-PL"/>
        </w:rPr>
        <w:t xml:space="preserve">porównanie </w:t>
      </w:r>
      <w:proofErr w:type="spellStart"/>
      <w:r>
        <w:rPr>
          <w:rFonts w:eastAsia="Calibri"/>
          <w:color w:val="000000"/>
          <w:lang w:val="pl-PL"/>
        </w:rPr>
        <w:t>hashy</w:t>
      </w:r>
      <w:proofErr w:type="spellEnd"/>
      <w:r>
        <w:rPr>
          <w:rFonts w:eastAsia="Calibri"/>
          <w:color w:val="000000"/>
          <w:lang w:val="pl-PL"/>
        </w:rPr>
        <w:t xml:space="preserve"> lub </w:t>
      </w:r>
      <w:proofErr w:type="spellStart"/>
      <w:r>
        <w:rPr>
          <w:rFonts w:eastAsia="Calibri"/>
          <w:color w:val="000000"/>
          <w:lang w:val="pl-PL"/>
        </w:rPr>
        <w:t>fingerprintów</w:t>
      </w:r>
      <w:proofErr w:type="spellEnd"/>
      <w:r>
        <w:rPr>
          <w:rFonts w:eastAsia="Calibri"/>
          <w:color w:val="000000"/>
          <w:lang w:val="pl-PL"/>
        </w:rPr>
        <w:t>;</w:t>
      </w:r>
    </w:p>
    <w:p>
      <w:pPr>
        <w:keepLines/>
        <w:numPr>
          <w:ilvl w:val="0"/>
          <w:numId w:val="13"/>
        </w:numPr>
        <w:spacing w:after="60"/>
      </w:pPr>
      <w:r>
        <w:rPr>
          <w:rFonts w:eastAsia="Calibri"/>
          <w:color w:val="000000"/>
          <w:lang w:val="pl-PL"/>
        </w:rPr>
        <w:t>przypisanie identyfikatora Operacji;</w:t>
      </w:r>
    </w:p>
    <w:p>
      <w:pPr>
        <w:keepLines/>
        <w:numPr>
          <w:ilvl w:val="0"/>
          <w:numId w:val="13"/>
        </w:numPr>
        <w:spacing w:after="60"/>
      </w:pPr>
      <w:r>
        <w:rPr>
          <w:rFonts w:eastAsia="Calibri"/>
          <w:color w:val="000000"/>
          <w:lang w:val="pl-PL"/>
        </w:rPr>
        <w:t>zapis niezbędnego śladu audytowego;</w:t>
      </w:r>
    </w:p>
    <w:p>
      <w:pPr>
        <w:keepLines/>
        <w:numPr>
          <w:ilvl w:val="0"/>
          <w:numId w:val="13"/>
        </w:numPr>
        <w:spacing w:after="60"/>
      </w:pPr>
      <w:r>
        <w:rPr>
          <w:rFonts w:eastAsia="Calibri"/>
          <w:color w:val="000000"/>
          <w:lang w:val="pl-PL"/>
        </w:rPr>
        <w:t>zwrócenie statusu technicznego.</w:t>
      </w:r>
    </w:p>
    <w:p>
      <w:pPr>
        <w:keepLines/>
        <w:numPr>
          <w:ilvl w:val="0"/>
          <w:numId w:val="12"/>
        </w:numPr>
      </w:pPr>
      <w:r>
        <w:rPr>
          <w:rFonts w:eastAsia="Calibri"/>
          <w:color w:val="000000"/>
          <w:lang w:val="pl-PL"/>
        </w:rPr>
        <w:t>Wersja objęta Regulaminem nie obejmuje innych metod, zastosowań ani produktów poza webhook_integrity.v1. Historyczne identyfikatory techniczne istniejące w oprogramowaniu lub dokumentacji nie rozszerzają aktualnej oferty.</w:t>
      </w:r>
    </w:p>
    <w:p>
      <w:pPr>
        <w:keepLines/>
        <w:numPr>
          <w:ilvl w:val="0"/>
          <w:numId w:val="12"/>
        </w:numPr>
        <w:rPr>
          <w:lang w:val="pl-PL"/>
        </w:rPr>
      </w:pPr>
      <w:r>
        <w:t>Usługa może być używana przez uprawnionego Agenta osoby prawnej wyłącznie w granicach zwalidowanej Delegacji, Buyer Bindingu i limitów pilotażu.</w:t>
      </w:r>
    </w:p>
    <w:p>
      <w:pPr>
        <w:keepLines/>
        <w:numPr>
          <w:ilvl w:val="0"/>
          <w:numId w:val="12"/>
        </w:numPr>
        <w:rPr>
          <w:rFonts w:eastAsia="Calibri"/>
          <w:color w:val="000000"/>
          <w:lang w:val="pl-PL"/>
        </w:rPr>
      </w:pPr>
      <w:r>
        <w:rPr>
          <w:rFonts w:eastAsia="Calibri"/>
          <w:color w:val="000000"/>
          <w:lang w:val="pl-PL"/>
        </w:rPr>
        <w:t>Klient pozostaje odpowiedzialny za własne relacje z użytkownikami i kontrahentami, podstawę prawną przesyłania danych oraz prawidłowe poinformowanie osób, których dane mogą znaleźć się w Payloadzie.</w:t>
      </w:r>
    </w:p>
    <w:p>
      <w:pPr>
        <w:keepLines/>
        <w:numPr>
          <w:ilvl w:val="0"/>
          <w:numId w:val="12"/>
        </w:numPr>
        <w:rPr>
          <w:lang w:val="pl-PL"/>
        </w:rPr>
      </w:pPr>
      <w:r>
        <w:rPr>
          <w:rFonts w:eastAsia="Calibri"/>
          <w:color w:val="000000"/>
          <w:lang w:val="pl-PL"/>
        </w:rPr>
        <w:lastRenderedPageBreak/>
        <w:t>Operator świadczy wyłącznie własną Usługę API i w odniesieniu do transakcji Klienta nie działa jako pośrednik ani broker.</w:t>
      </w:r>
    </w:p>
    <w:p>
      <w:pPr>
        <w:pStyle w:val="Nagwek1"/>
      </w:pPr>
      <w:r>
        <w:rPr>
          <w:rFonts w:eastAsia="Calibri"/>
          <w:lang w:val="pl-PL"/>
        </w:rPr>
        <w:t>4. Granice Wyniku technicznego</w:t>
      </w:r>
    </w:p>
    <w:p>
      <w:pPr>
        <w:keepLines/>
        <w:numPr>
          <w:ilvl w:val="0"/>
          <w:numId w:val="14"/>
        </w:numPr>
        <w:rPr>
          <w:lang w:val="pl-PL"/>
        </w:rPr>
      </w:pPr>
      <w:r>
        <w:rPr>
          <w:rFonts w:eastAsia="Calibri"/>
          <w:color w:val="000000"/>
          <w:lang w:val="pl-PL"/>
        </w:rPr>
        <w:t xml:space="preserve">Wynik techniczny potwierdza wyłącznie rezultat technicznych sprawdzeń wykonanych przez </w:t>
      </w:r>
      <w:proofErr w:type="spellStart"/>
      <w:r>
        <w:rPr>
          <w:rFonts w:eastAsia="Calibri"/>
          <w:color w:val="000000"/>
          <w:lang w:val="pl-PL"/>
        </w:rPr>
        <w:t>IntegrityPhase</w:t>
      </w:r>
      <w:proofErr w:type="spellEnd"/>
      <w:r>
        <w:rPr>
          <w:rFonts w:eastAsia="Calibri"/>
          <w:color w:val="000000"/>
          <w:lang w:val="pl-PL"/>
        </w:rPr>
        <w:t>.</w:t>
      </w:r>
    </w:p>
    <w:p>
      <w:pPr>
        <w:keepLines/>
        <w:numPr>
          <w:ilvl w:val="0"/>
          <w:numId w:val="14"/>
        </w:numPr>
      </w:pPr>
      <w:r>
        <w:rPr>
          <w:rFonts w:eastAsia="Calibri"/>
          <w:color w:val="000000"/>
          <w:lang w:val="pl-PL"/>
        </w:rPr>
        <w:t>Wynik techniczny nie potwierdza:</w:t>
      </w:r>
    </w:p>
    <w:p>
      <w:pPr>
        <w:keepLines/>
        <w:numPr>
          <w:ilvl w:val="0"/>
          <w:numId w:val="15"/>
        </w:numPr>
        <w:spacing w:after="60"/>
      </w:pPr>
      <w:r>
        <w:rPr>
          <w:rFonts w:eastAsia="Calibri"/>
          <w:color w:val="000000"/>
          <w:lang w:val="pl-PL"/>
        </w:rPr>
        <w:t>prawdziwości danych źródłowych;</w:t>
      </w:r>
    </w:p>
    <w:p>
      <w:pPr>
        <w:keepLines/>
        <w:numPr>
          <w:ilvl w:val="0"/>
          <w:numId w:val="15"/>
        </w:numPr>
        <w:spacing w:after="60"/>
        <w:rPr>
          <w:lang w:val="pl-PL"/>
        </w:rPr>
      </w:pPr>
      <w:r>
        <w:rPr>
          <w:rFonts w:eastAsia="Calibri"/>
          <w:color w:val="000000"/>
          <w:lang w:val="pl-PL"/>
        </w:rPr>
        <w:t>umocowania osoby lub systemu w rozumieniu prawnym;</w:t>
      </w:r>
    </w:p>
    <w:p>
      <w:pPr>
        <w:keepLines/>
        <w:numPr>
          <w:ilvl w:val="0"/>
          <w:numId w:val="15"/>
        </w:numPr>
        <w:spacing w:after="60"/>
        <w:rPr>
          <w:lang w:val="pl-PL"/>
        </w:rPr>
      </w:pPr>
      <w:r>
        <w:rPr>
          <w:rFonts w:eastAsia="Calibri"/>
          <w:color w:val="000000"/>
          <w:lang w:val="pl-PL"/>
        </w:rPr>
        <w:t>ważności umowy, zamówienia lub innej czynności prawnej;</w:t>
      </w:r>
    </w:p>
    <w:p>
      <w:pPr>
        <w:keepLines/>
        <w:numPr>
          <w:ilvl w:val="0"/>
          <w:numId w:val="15"/>
        </w:numPr>
        <w:spacing w:after="60"/>
        <w:rPr>
          <w:lang w:val="pl-PL"/>
        </w:rPr>
      </w:pPr>
      <w:r>
        <w:rPr>
          <w:rFonts w:eastAsia="Calibri"/>
          <w:color w:val="000000"/>
          <w:lang w:val="pl-PL"/>
        </w:rPr>
        <w:t>wykonania płatności, dostawy, naprawy lub usługi Klienta;</w:t>
      </w:r>
    </w:p>
    <w:p>
      <w:pPr>
        <w:keepLines/>
        <w:numPr>
          <w:ilvl w:val="0"/>
          <w:numId w:val="15"/>
        </w:numPr>
        <w:spacing w:after="60"/>
        <w:rPr>
          <w:lang w:val="pl-PL"/>
        </w:rPr>
      </w:pPr>
      <w:r>
        <w:rPr>
          <w:rFonts w:eastAsia="Calibri"/>
          <w:color w:val="000000"/>
          <w:lang w:val="pl-PL"/>
        </w:rPr>
        <w:t>zgodności podatkowej, księgowej albo branżowej;</w:t>
      </w:r>
    </w:p>
    <w:p>
      <w:pPr>
        <w:keepLines/>
        <w:numPr>
          <w:ilvl w:val="0"/>
          <w:numId w:val="15"/>
        </w:numPr>
        <w:spacing w:after="60"/>
        <w:rPr>
          <w:lang w:val="pl-PL"/>
        </w:rPr>
      </w:pPr>
      <w:r>
        <w:rPr>
          <w:rFonts w:eastAsia="Calibri"/>
          <w:color w:val="000000"/>
          <w:lang w:val="pl-PL"/>
        </w:rPr>
        <w:t>wartości biznesowej lub celowości decyzji Klienta.</w:t>
      </w:r>
    </w:p>
    <w:p>
      <w:pPr>
        <w:keepLines/>
        <w:numPr>
          <w:ilvl w:val="0"/>
          <w:numId w:val="14"/>
        </w:numPr>
        <w:rPr>
          <w:lang w:val="pl-PL"/>
        </w:rPr>
      </w:pPr>
      <w:r>
        <w:t>IntegrityPhase nie świadczy usług audytorskich ani notarialnych. Nie jest kwalifikowanym dostawcą usług zaufania. Jeżeli i w zakresie, w jakim dana funkcja IntegrityPhase stanowi usługę zaufania w rozumieniu eIDAS, jest oferowana wyłącznie jako usługa niekwalifikowana.</w:t>
      </w:r>
    </w:p>
    <w:p>
      <w:pPr>
        <w:keepLines/>
        <w:numPr>
          <w:ilvl w:val="0"/>
          <w:numId w:val="14"/>
        </w:numPr>
        <w:rPr>
          <w:lang w:val="pl-PL"/>
        </w:rPr>
      </w:pPr>
      <w:r>
        <w:t>IntegrityPhase nie wydaje kwalifikowanego podpisu, pieczęci, znacznika czasu, elektronicznego doręczenia ani kwalifikowanego ledgeru. Czas w Wyniku jest metadaną systemową, nie datą pewną ani kwalifikowanym znacznikiem czasu; Wynik nie korzysta z domniemań usług kwalifikowanych.</w:t>
      </w:r>
    </w:p>
    <w:p>
      <w:pPr>
        <w:keepLines/>
        <w:numPr>
          <w:ilvl w:val="0"/>
          <w:numId w:val="14"/>
        </w:numPr>
        <w:rPr>
          <w:lang w:val="pl-PL"/>
        </w:rPr>
      </w:pPr>
      <w:r>
        <w:rPr>
          <w:rFonts w:eastAsia="Calibri"/>
          <w:color w:val="000000"/>
          <w:lang w:val="pl-PL"/>
        </w:rPr>
        <w:t xml:space="preserve">Wynik techniczny nie stanowi porady prawnej, finansowej, podatkowej, medycznej, ubezpieczeniowej ani </w:t>
      </w:r>
      <w:proofErr w:type="spellStart"/>
      <w:r>
        <w:rPr>
          <w:rFonts w:eastAsia="Calibri"/>
          <w:color w:val="000000"/>
          <w:lang w:val="pl-PL"/>
        </w:rPr>
        <w:t>compliance</w:t>
      </w:r>
      <w:proofErr w:type="spellEnd"/>
      <w:r>
        <w:rPr>
          <w:rFonts w:eastAsia="Calibri"/>
          <w:color w:val="000000"/>
          <w:lang w:val="pl-PL"/>
        </w:rPr>
        <w:t>.</w:t>
      </w:r>
    </w:p>
    <w:p>
      <w:pPr>
        <w:keepLines/>
        <w:numPr>
          <w:ilvl w:val="0"/>
          <w:numId w:val="14"/>
        </w:numPr>
        <w:rPr>
          <w:lang w:val="pl-PL"/>
        </w:rPr>
      </w:pPr>
      <w:r>
        <w:rPr>
          <w:rFonts w:eastAsia="Calibri"/>
          <w:color w:val="000000"/>
          <w:lang w:val="pl-PL"/>
        </w:rPr>
        <w:t>Klient samodzielnie decyduje, czy i w jaki sposób używa Wyniku technicznego w swoich systemach i procesach.</w:t>
      </w:r>
    </w:p>
    <w:p>
      <w:pPr>
        <w:pStyle w:val="Nagwek1"/>
        <w:rPr>
          <w:lang w:val="pl-PL"/>
        </w:rPr>
      </w:pPr>
      <w:r>
        <w:rPr>
          <w:rFonts w:eastAsia="Calibri"/>
          <w:lang w:val="pl-PL"/>
        </w:rPr>
        <w:t xml:space="preserve">5. Elektroniczny </w:t>
      </w:r>
      <w:proofErr w:type="spellStart"/>
      <w:r>
        <w:rPr>
          <w:rFonts w:eastAsia="Calibri"/>
          <w:lang w:val="pl-PL"/>
        </w:rPr>
        <w:t>onboarding</w:t>
      </w:r>
      <w:proofErr w:type="spellEnd"/>
      <w:r>
        <w:rPr>
          <w:rFonts w:eastAsia="Calibri"/>
          <w:lang w:val="pl-PL"/>
        </w:rPr>
        <w:t xml:space="preserve"> </w:t>
      </w:r>
      <w:r>
        <w:rPr>
          <w:rStyle w:val="Odwoaniedokomentarza"/>
          <w:rFonts w:eastAsia="MS Mincho"/>
          <w:b w:val="0"/>
          <w:bCs w:val="0"/>
          <w:color w:val="000000"/>
        </w:rPr>
      </w:r>
      <w:r>
        <w:rPr>
          <w:rFonts w:eastAsia="Calibri"/>
          <w:lang w:val="pl-PL"/>
        </w:rPr>
        <w:t>Klienta i zawarcie Umowy</w:t>
      </w:r>
    </w:p>
    <w:p>
      <w:pPr>
        <w:keepLines/>
        <w:numPr>
          <w:ilvl w:val="0"/>
          <w:numId w:val="16"/>
        </w:numPr>
      </w:pPr>
      <w:r>
        <w:t>Agent może samodzielnie odnaleźć IntegrityPhase przez publiczną stronę, wyszukiwarkę, dokumentację, Quickstart lub discovery dla agentów, w tym Bazaar/MCP, i rozpocząć automatyczny onboarding B2B. Operator nie wybiera Klienta ani Agenta i nie zatwierdza ręcznie normalnego zakupu; wszystkie bramki działają automatycznie i fail-closed. Kraj pierwszej sprzedaży wynika z kraju pierwszego kwalifikującego się Klienta oraz dostępnego i zweryfikowanego Pakietu Kraju; nie ma wymogu pierwszej sprzedaży do Polski.</w:t>
      </w:r>
    </w:p>
    <w:p>
      <w:pPr>
        <w:keepLines/>
        <w:numPr>
          <w:ilvl w:val="0"/>
          <w:numId w:val="16"/>
        </w:numPr>
      </w:pPr>
      <w:r>
        <w:t>Automatyczny onboarding obejmuje:</w:t>
      </w:r>
    </w:p>
    <w:p>
      <w:pPr>
        <w:keepLines/>
        <w:numPr>
          <w:ilvl w:val="0"/>
          <w:numId w:val="17"/>
        </w:numPr>
        <w:spacing w:after="60"/>
        <w:rPr>
          <w:lang w:val="pl-PL"/>
        </w:rPr>
      </w:pPr>
      <w:r>
        <w:t>przekazanie przez Agenta wymaganych danych osoby prawnej, danych rejestrowych, kontaktowych i fakturowych;</w:t>
      </w:r>
    </w:p>
    <w:p>
      <w:pPr>
        <w:keepLines/>
        <w:numPr>
          <w:ilvl w:val="0"/>
          <w:numId w:val="17"/>
        </w:numPr>
        <w:spacing w:after="60"/>
        <w:rPr>
          <w:lang w:val="pl-PL"/>
        </w:rPr>
      </w:pPr>
      <w:r>
        <w:t>przekazanie Delegacji wiążącej firmę, Agenta, Wallet, zakres, limity, ważność i odwołanie oraz podpisanego oświadczenia o upoważnieniu. W profilu deklarowanym Agent używa klucza portfela płatnika; podpis dowodzi kontroli tego klucza, a nie rzeczywistego umocowania do działania za firmę;</w:t>
      </w:r>
    </w:p>
    <w:p>
      <w:pPr>
        <w:keepLines/>
        <w:numPr>
          <w:ilvl w:val="0"/>
          <w:numId w:val="17"/>
        </w:numPr>
        <w:spacing w:after="60"/>
        <w:rPr>
          <w:lang w:val="pl-PL"/>
        </w:rPr>
      </w:pPr>
      <w:r>
        <w:t>automatyczne sprawdzenie istnienia i dopuszczonej formy prawnej podmiotu w obsługiwanym rejestrze, w Polsce w KRS, oraz statusu podatkowego zgodnie z Pakietem Kraju, w Polsce w Wykazie VAT MF, a dla wymaganej kwalifikacji VAT-UE w VIES. Wynik VIES nie potwierdza osobowości prawnej ani reprezentacji. Niedostępne wymagane źródło albo brak zweryfikowanego Pakietu Kraju blokują płatną operację;</w:t>
      </w:r>
    </w:p>
    <w:p>
      <w:pPr>
        <w:keepLines/>
        <w:numPr>
          <w:ilvl w:val="0"/>
          <w:numId w:val="17"/>
        </w:numPr>
        <w:spacing w:after="60"/>
        <w:rPr>
          <w:lang w:val="pl-PL"/>
        </w:rPr>
      </w:pPr>
      <w:r>
        <w:rPr>
          <w:rFonts w:eastAsia="Calibri"/>
          <w:color w:val="000000"/>
          <w:lang w:val="pl-PL"/>
        </w:rPr>
        <w:t>elektroniczne udostępnienie pełnych, wersjonowanych dokumentów: Regulaminu, Polityki Prywatności i ramowej DPA oraz Dokumentacji API;</w:t>
      </w:r>
    </w:p>
    <w:p>
      <w:pPr>
        <w:keepLines/>
        <w:numPr>
          <w:ilvl w:val="0"/>
          <w:numId w:val="17"/>
        </w:numPr>
        <w:spacing w:after="60"/>
        <w:rPr>
          <w:lang w:val="pl-PL"/>
        </w:rPr>
      </w:pPr>
      <w:proofErr w:type="spellStart"/>
      <w:proofErr w:type="spellEnd"/>
      <w:r>
        <w:rPr>
          <w:rFonts w:eastAsia="Calibri"/>
          <w:color w:val="000000"/>
          <w:lang w:val="pl-PL"/>
        </w:rPr>
        <w:t>złożenie deklaracji, czy Payload może zawierać dane osobowe; onboarding nie służy do przekazywania Payloadu, jego próbek ani załączników;</w:t>
      </w:r>
    </w:p>
    <w:p>
      <w:pPr>
        <w:keepLines/>
        <w:numPr>
          <w:ilvl w:val="0"/>
          <w:numId w:val="17"/>
        </w:numPr>
        <w:spacing w:after="60"/>
        <w:rPr>
          <w:lang w:val="pl-PL"/>
        </w:rPr>
      </w:pPr>
      <w:r>
        <w:rPr>
          <w:rFonts w:eastAsia="Calibri"/>
          <w:color w:val="000000"/>
          <w:lang w:val="pl-PL"/>
        </w:rPr>
        <w:t>obowiązkową elektroniczną akceptację ramowej DPA przez Agenta z uprawnieniem enter_dpa przed utworzeniem Buyer Bindingu, również przy deklaracji braku danych osobowych w Payloadzie;</w:t>
      </w:r>
    </w:p>
    <w:p>
      <w:pPr>
        <w:keepLines/>
        <w:numPr>
          <w:ilvl w:val="0"/>
          <w:numId w:val="17"/>
        </w:numPr>
        <w:spacing w:after="60"/>
      </w:pPr>
      <w:r>
        <w:t>maszynową akceptację przez Agenta wymaganych dokumentów oraz konkretnej, ograniczonej czasowo oferty, wyłącznie w granicach Delegacji;</w:t>
      </w:r>
    </w:p>
    <w:p>
      <w:pPr>
        <w:keepLines/>
        <w:numPr>
          <w:ilvl w:val="0"/>
          <w:numId w:val="17"/>
        </w:numPr>
        <w:spacing w:after="60"/>
        <w:rPr>
          <w:lang w:val="pl-PL"/>
        </w:rPr>
      </w:pPr>
      <w:r>
        <w:t>utrwalenie wersji i hashy dokumentów, danych Klienta, Delegacji, treści oświadczenia, podpisu, publicznego klucza lub jego fingerprintu, Walleta, czasu, wyników kontroli, stanu odwołania i Buyer Bindingu. Dowód rozróżnia sprawdzenie firmy, podatków i podpisów od deklarowanego upoważnienia;</w:t>
      </w:r>
    </w:p>
    <w:p>
      <w:pPr>
        <w:keepLines/>
        <w:numPr>
          <w:ilvl w:val="0"/>
          <w:numId w:val="16"/>
        </w:numPr>
        <w:rPr>
          <w:lang w:val="pl-PL"/>
        </w:rPr>
      </w:pPr>
      <w:r>
        <w:t>Publikacja w Bazaar/MCP stanowi zaproszenie do skorzystania z Usługi. Po pozytywnej walidacji Operator przedstawia pełne dokumenty i konkretną, ograniczoną czasowo ofertę jednej Operacji.</w:t>
      </w:r>
    </w:p>
    <w:p>
      <w:pPr>
        <w:keepLines/>
        <w:numPr>
          <w:ilvl w:val="0"/>
          <w:numId w:val="16"/>
        </w:numPr>
        <w:rPr>
          <w:lang w:val="pl-PL"/>
        </w:rPr>
      </w:pPr>
      <w:r>
        <w:t>System zapisuje akceptację dokumentów złożoną przez Agenta w deklarowanym imieniu Klienta oraz potwierdzenie Buyer Bindingu po wymaganych kontrolach. Skuteczne działanie za Klienta wymaga rzeczywistego umocowania. Sam pozytywny wynik techniczny nie rozstrzyga skuteczności prawnej oświadczenia wobec firmy ani nie zastępuje umocowania. Akceptacja konkretnej oferty x402 stanowi zamówienie danej Operacji przez działającego w tym zakresie Agenta.</w:t>
      </w:r>
    </w:p>
    <w:p>
      <w:pPr>
        <w:keepLines/>
        <w:numPr>
          <w:ilvl w:val="0"/>
          <w:numId w:val="16"/>
        </w:numPr>
        <w:rPr>
          <w:lang w:val="pl-PL"/>
        </w:rPr>
      </w:pPr>
      <w:r>
        <w:t>Brak wymaganych danych firmy, podpisanego oświadczenia, kontroli klucza, ważności lub zakresu Delegacji, jej odwołanie, przekroczenie limitu, nieaktualne dokumenty albo brak wymaganego wyniku podatkowego powodują automatyczną odmowę przed płatnością. W profilu deklarowanym nie wymaga się kwalifikowanego podpisu ani niezależnego potwierdzenia reprezentanta. Nie ma ręcznego obejścia pozostałych kontroli ani fallbacku do B2C.</w:t>
      </w:r>
    </w:p>
    <w:p>
      <w:pPr>
        <w:pStyle w:val="Nagwek1"/>
      </w:pPr>
      <w:r>
        <w:rPr>
          <w:rFonts w:eastAsia="Calibri"/>
          <w:lang w:val="pl-PL"/>
        </w:rPr>
        <w:t>6. Wymagania techniczne</w:t>
      </w:r>
    </w:p>
    <w:p>
      <w:pPr>
        <w:keepLines/>
        <w:numPr>
          <w:ilvl w:val="0"/>
          <w:numId w:val="18"/>
        </w:numPr>
      </w:pPr>
      <w:r>
        <w:rPr>
          <w:rFonts w:eastAsia="Calibri"/>
          <w:color w:val="000000"/>
          <w:lang w:val="pl-PL"/>
        </w:rPr>
        <w:t xml:space="preserve">Korzystanie z Usługi </w:t>
      </w:r>
      <w:r>
        <w:rPr>
          <w:rFonts w:eastAsia="Calibri"/>
          <w:color w:val="000000"/>
          <w:lang w:val="pl-PL"/>
        </w:rPr>
        <w:t>wymaga</w:t>
      </w:r>
      <w:r>
        <w:rPr>
          <w:rStyle w:val="Odwoaniedokomentarza"/>
        </w:rPr>
      </w:r>
      <w:r>
        <w:rPr>
          <w:rFonts w:eastAsia="Calibri"/>
          <w:color w:val="000000"/>
          <w:lang w:val="pl-PL"/>
        </w:rPr>
        <w:t>:</w:t>
      </w:r>
    </w:p>
    <w:p>
      <w:pPr>
        <w:keepLines/>
        <w:numPr>
          <w:ilvl w:val="0"/>
          <w:numId w:val="19"/>
        </w:numPr>
        <w:spacing w:after="60"/>
        <w:rPr>
          <w:lang w:val="pl-PL"/>
        </w:rPr>
      </w:pPr>
      <w:r>
        <w:rPr>
          <w:rFonts w:eastAsia="Calibri"/>
          <w:color w:val="000000"/>
          <w:lang w:val="pl-PL"/>
        </w:rPr>
        <w:t>systemu zdolnego do komunikacji z API przez HTTPS/TLS;</w:t>
      </w:r>
    </w:p>
    <w:p>
      <w:pPr>
        <w:keepLines/>
        <w:numPr>
          <w:ilvl w:val="0"/>
          <w:numId w:val="19"/>
        </w:numPr>
        <w:spacing w:after="60"/>
        <w:rPr>
          <w:lang w:val="pl-PL"/>
        </w:rPr>
      </w:pPr>
      <w:r>
        <w:rPr>
          <w:rFonts w:eastAsia="Calibri"/>
          <w:color w:val="000000"/>
          <w:lang w:val="pl-PL"/>
        </w:rPr>
        <w:t>obsługi formatów i metod wskazanych w Dokumentacji API;</w:t>
      </w:r>
    </w:p>
    <w:p>
      <w:pPr>
        <w:keepLines/>
        <w:numPr>
          <w:ilvl w:val="0"/>
          <w:numId w:val="19"/>
        </w:numPr>
        <w:spacing w:after="60"/>
      </w:pPr>
      <w:r>
        <w:rPr>
          <w:rFonts w:eastAsia="Calibri"/>
          <w:color w:val="000000"/>
          <w:lang w:val="pl-PL"/>
        </w:rPr>
        <w:t>dostępu do Internetu;</w:t>
      </w:r>
    </w:p>
    <w:p>
      <w:pPr>
        <w:keepLines/>
        <w:numPr>
          <w:ilvl w:val="0"/>
          <w:numId w:val="19"/>
        </w:numPr>
        <w:spacing w:after="60"/>
      </w:pPr>
      <w:r>
        <w:rPr>
          <w:rFonts w:eastAsia="Calibri"/>
          <w:color w:val="000000"/>
          <w:lang w:val="pl-PL"/>
        </w:rPr>
        <w:t>prawidłowej implementacji uwierzytelniania;</w:t>
      </w:r>
    </w:p>
    <w:p>
      <w:pPr>
        <w:keepLines/>
        <w:numPr>
          <w:ilvl w:val="0"/>
          <w:numId w:val="19"/>
        </w:numPr>
        <w:spacing w:after="60"/>
      </w:pPr>
      <w:r>
        <w:t>bezpiecznego przechowywania klucza Agenta, Walleta, Buyer Bindingu i sekretu źródła;</w:t>
      </w:r>
    </w:p>
    <w:p>
      <w:pPr>
        <w:keepLines/>
        <w:numPr>
          <w:ilvl w:val="0"/>
          <w:numId w:val="19"/>
        </w:numPr>
        <w:spacing w:after="60"/>
        <w:rPr>
          <w:lang w:val="pl-PL"/>
        </w:rPr>
      </w:pPr>
      <w:r>
        <w:rPr>
          <w:rFonts w:eastAsia="Calibri"/>
          <w:color w:val="000000"/>
          <w:lang w:val="pl-PL"/>
        </w:rPr>
        <w:t>przestrzegania limitów, timeoutów i zasad ponawiania Żądań wskazanych w Dokumentacji API.</w:t>
      </w:r>
    </w:p>
    <w:p>
      <w:pPr>
        <w:keepLines/>
        <w:numPr>
          <w:ilvl w:val="0"/>
          <w:numId w:val="18"/>
        </w:numPr>
        <w:rPr>
          <w:lang w:val="pl-PL"/>
        </w:rPr>
      </w:pPr>
      <w:r>
        <w:rPr>
          <w:rFonts w:eastAsia="Calibri"/>
          <w:color w:val="000000"/>
          <w:lang w:val="pl-PL"/>
        </w:rPr>
        <w:t>Klient odpowiada za aktualność i bezpieczeństwo własnych systemów, Integracji, agentów oraz połączeń.</w:t>
      </w:r>
    </w:p>
    <w:p>
      <w:pPr>
        <w:keepLines/>
        <w:numPr>
          <w:ilvl w:val="0"/>
          <w:numId w:val="18"/>
        </w:numPr>
        <w:rPr>
          <w:lang w:val="pl-PL"/>
        </w:rPr>
      </w:pPr>
      <w:r>
        <w:rPr>
          <w:rFonts w:eastAsia="Calibri"/>
          <w:color w:val="000000"/>
          <w:lang w:val="pl-PL"/>
        </w:rPr>
        <w:t>Operator może zmieniać wymagania techniczne, jeżeli jest to potrzebne dla bezpieczeństwa, zgodności, stabilności albo rozwoju Usługi.</w:t>
      </w:r>
    </w:p>
    <w:p>
      <w:pPr>
        <w:pStyle w:val="Nagwek1"/>
      </w:pPr>
      <w:r>
        <w:rPr>
          <w:rFonts w:eastAsia="Calibri"/>
          <w:lang w:val="pl-PL"/>
        </w:rPr>
        <w:t>7. Buyer Binding Integracje i agenci</w:t>
      </w:r>
    </w:p>
    <w:p>
      <w:pPr>
        <w:keepLines/>
        <w:numPr>
          <w:ilvl w:val="0"/>
          <w:numId w:val="20"/>
        </w:numPr>
        <w:rPr>
          <w:lang w:val="pl-PL"/>
        </w:rPr>
      </w:pPr>
      <w:r>
        <w:t>Buyer Binding jest przypisany do Klienta, Delegacji, Agenta, Walleta, źródła i zakresu i nie może być używany poza tym związaniem.</w:t>
      </w:r>
    </w:p>
    <w:p>
      <w:pPr>
        <w:keepLines/>
        <w:numPr>
          <w:ilvl w:val="0"/>
          <w:numId w:val="20"/>
        </w:numPr>
        <w:rPr>
          <w:lang w:val="pl-PL"/>
        </w:rPr>
      </w:pPr>
      <w:r>
        <w:t>Agent oświadcza, że jego czynności mieszczą się w rzeczywiście udzielonym upoważnieniu. System sprawdza zgodność z zakresem i limitami przedstawionej Delegacji. Pozytywny wynik nie stanowi samodzielnego dowodu, że wskazana firma udzieliła upoważnienia lub jest związana czynnością osoby nieuprawnionej.</w:t>
      </w:r>
    </w:p>
    <w:p>
      <w:pPr>
        <w:keepLines/>
        <w:numPr>
          <w:ilvl w:val="0"/>
          <w:numId w:val="20"/>
        </w:numPr>
        <w:rPr>
          <w:lang w:val="pl-PL"/>
        </w:rPr>
      </w:pPr>
      <w:r>
        <w:t>Agent może samodzielnie wybrać dostawcę, zaakceptować dokumenty, zamówić Operację i zainicjować x402 tylko wtedy, gdy odpowiednie uprawnienia wynikają wprost z Delegacji.</w:t>
      </w:r>
    </w:p>
    <w:p>
      <w:pPr>
        <w:keepLines/>
        <w:numPr>
          <w:ilvl w:val="0"/>
          <w:numId w:val="20"/>
        </w:numPr>
        <w:rPr>
          <w:lang w:val="pl-PL"/>
        </w:rPr>
      </w:pPr>
      <w:r>
        <w:t>Klient odpowiada za faktycznie udzielone upoważnienia, ich zakres, limity, odwołanie oraz ochronę swoich kluczy. W profilu deklarowanym IntegrityPhase polega na podpisanym oświadczeniu o upoważnieniu i nie eliminuje ryzyka podszycia się pod firmę. Dane firmy i kryptograficzna spójność pakietu są sprawdzane odrębnie od tego oświadczenia.</w:t>
      </w:r>
    </w:p>
    <w:p>
      <w:pPr>
        <w:keepLines/>
        <w:numPr>
          <w:ilvl w:val="0"/>
          <w:numId w:val="20"/>
        </w:numPr>
        <w:rPr>
          <w:lang w:val="pl-PL"/>
        </w:rPr>
      </w:pPr>
      <w:r>
        <w:t>Delegację można trwale odwołać podpisanym żądaniem przez API, przy użyciu tego samego klucza, który podpisał pakiet. Odwołanie blokuje kolejne zakupy; nie cofa już potwierdzonej płatności. Odnowienie wymaga nowego identyfikatora Delegacji. W razie utraty klucza lub podejrzenia nieuprawnionego użycia Klient niezwłocznie informuje Operatora; procedura incydentowa nie stanowi ręcznego zatwierdzania normalnych zakupów.</w:t>
      </w:r>
    </w:p>
    <w:p>
      <w:pPr>
        <w:keepLines/>
        <w:numPr>
          <w:ilvl w:val="0"/>
          <w:numId w:val="20"/>
        </w:numPr>
        <w:rPr>
          <w:lang w:val="pl-PL"/>
        </w:rPr>
      </w:pPr>
      <w:r>
        <w:t>Operator może niezwłocznie zawiesić Buyer Binding w razie odwołania Delegacji, przekroczenia limitu, zagrożenia bezpieczeństwa albo obowiązku prawnego.</w:t>
      </w:r>
    </w:p>
    <w:p>
      <w:pPr>
        <w:pStyle w:val="Nagwek1"/>
      </w:pPr>
      <w:r>
        <w:rPr>
          <w:rFonts w:eastAsia="Calibri"/>
          <w:lang w:val="pl-PL"/>
        </w:rPr>
        <w:lastRenderedPageBreak/>
        <w:t>8. Operacje i model ilościowy</w:t>
      </w:r>
    </w:p>
    <w:p>
      <w:pPr>
        <w:keepLines/>
        <w:numPr>
          <w:ilvl w:val="0"/>
          <w:numId w:val="21"/>
        </w:numPr>
      </w:pPr>
      <w:r>
        <w:rPr>
          <w:rFonts w:eastAsia="Calibri"/>
          <w:color w:val="000000"/>
          <w:lang w:val="pl-PL"/>
        </w:rPr>
        <w:t>Usługa jest rozliczana w modelu x402 pay-per-proof.</w:t>
      </w:r>
    </w:p>
    <w:p>
      <w:pPr>
        <w:keepLines/>
        <w:numPr>
          <w:ilvl w:val="0"/>
          <w:numId w:val="21"/>
        </w:numPr>
        <w:rPr>
          <w:lang w:val="pl-PL"/>
        </w:rPr>
      </w:pPr>
      <w:r>
        <w:rPr>
          <w:rFonts w:eastAsia="Calibri"/>
          <w:color w:val="000000"/>
          <w:lang w:val="pl-PL"/>
        </w:rPr>
        <w:t>Jedna przyjęta płatność odpowiada jednej Operacji zakończonej jednym Wynikiem technicznym.</w:t>
      </w:r>
    </w:p>
    <w:p>
      <w:pPr>
        <w:keepLines/>
        <w:numPr>
          <w:ilvl w:val="0"/>
          <w:numId w:val="21"/>
        </w:numPr>
        <w:rPr>
          <w:lang w:val="pl-PL"/>
        </w:rPr>
      </w:pPr>
      <w:r>
        <w:rPr>
          <w:rFonts w:eastAsia="Calibri"/>
          <w:color w:val="000000"/>
          <w:lang w:val="pl-PL"/>
        </w:rPr>
        <w:t>API może zwracać identyfikator Operacji i status jej przetwarzania przed udostępnieniem kompletnego Wyniku technicznego; status taki nie oznacza jeszcze ukończenia Usługi ani rozpoznania przychodu do celów księgowych.</w:t>
      </w:r>
    </w:p>
    <w:p>
      <w:pPr>
        <w:keepLines/>
        <w:numPr>
          <w:ilvl w:val="0"/>
          <w:numId w:val="21"/>
        </w:numPr>
        <w:rPr>
          <w:lang w:val="pl-PL"/>
        </w:rPr>
      </w:pPr>
      <w:r>
        <w:rPr>
          <w:rFonts w:eastAsia="Calibri"/>
          <w:color w:val="000000"/>
          <w:lang w:val="pl-PL"/>
        </w:rPr>
        <w:t>Operacja jest automatycznie odrzucana przed płatnością albo wykonaniem w przypadku niespełnienia warunków technicznych, limitów, Polityki cenowej, wymogów bezpieczeństwa, wymaganej DPA, ważności oferty lub Regulaminu.</w:t>
      </w:r>
    </w:p>
    <w:p>
      <w:pPr>
        <w:keepLines/>
        <w:numPr>
          <w:ilvl w:val="0"/>
          <w:numId w:val="21"/>
        </w:numPr>
        <w:rPr>
          <w:lang w:val="pl-PL"/>
        </w:rPr>
      </w:pPr>
      <w:r>
        <w:rPr>
          <w:rFonts w:eastAsia="Calibri"/>
          <w:color w:val="000000"/>
          <w:lang w:val="pl-PL"/>
        </w:rPr>
        <w:t>Klient nie może automatycznie ponawiać Operacji o niejednoznacznym statusie płatności lub rozliczenia. Taka Operacja jest obejmowana reconciliation, a przyjęty settlement zużywa odpowiedni limit pilotażowy także wtedy, gdy późniejsze dostarczenie Wyniku technicznego nie powiedzie się.</w:t>
      </w:r>
    </w:p>
    <w:p>
      <w:pPr>
        <w:keepLines/>
        <w:numPr>
          <w:ilvl w:val="0"/>
          <w:numId w:val="21"/>
        </w:numPr>
        <w:rPr>
          <w:lang w:val="pl-PL"/>
        </w:rPr>
      </w:pPr>
      <w:r>
        <w:t>Mechanizm fail-closed automatycznie odmawia wykonania Operacji, jeżeli nie można potwierdzić wszystkich wymaganych warunków. Pierwszy realny pilot dopuszcza dokładnie jeden settlement i po nim automatycznie przechodzi w FREEZE, czyli blokadę kolejnych płatności. Wznowienie dostępności Usługi wymaga uzgodnienia wyniku tej Operacji i ponownego uruchomienia sprzedaży przez Operatora. Jest to ograniczenie pilotażu; Operator nie zatwierdza ręcznie poszczególnych zakupów Agenta.</w:t>
      </w:r>
    </w:p>
    <w:p>
      <w:pPr>
        <w:pStyle w:val="Nagwek1"/>
      </w:pPr>
      <w:r>
        <w:rPr>
          <w:rFonts w:eastAsia="Calibri"/>
          <w:lang w:val="pl-PL"/>
        </w:rPr>
        <w:t>9. Cena i zapłata za Usługę</w:t>
      </w:r>
    </w:p>
    <w:p>
      <w:pPr>
        <w:keepLines/>
        <w:numPr>
          <w:ilvl w:val="0"/>
          <w:numId w:val="22"/>
        </w:numPr>
        <w:rPr>
          <w:lang w:val="pl-PL"/>
        </w:rPr>
      </w:pPr>
      <w:r>
        <w:rPr>
          <w:rFonts w:eastAsia="Calibri"/>
          <w:color w:val="000000"/>
          <w:lang w:val="pl-PL"/>
        </w:rPr>
        <w:t xml:space="preserve">Cena dotyczy wyłącznie własnej Usługi API świadczonej przez </w:t>
      </w:r>
      <w:r>
        <w:rPr>
          <w:rFonts w:eastAsia="Calibri"/>
          <w:color w:val="000000"/>
          <w:lang w:val="pl-PL"/>
        </w:rPr>
        <w:t>Operatora</w:t>
      </w:r>
      <w:r>
        <w:rPr>
          <w:rStyle w:val="Odwoaniedokomentarza"/>
        </w:rPr>
      </w:r>
      <w:r>
        <w:rPr>
          <w:rFonts w:eastAsia="Calibri"/>
          <w:color w:val="000000"/>
          <w:lang w:val="pl-PL"/>
        </w:rPr>
        <w:t>.</w:t>
      </w:r>
    </w:p>
    <w:p>
      <w:pPr>
        <w:keepLines/>
        <w:numPr>
          <w:ilvl w:val="0"/>
          <w:numId w:val="22"/>
        </w:numPr>
        <w:rPr>
          <w:lang w:val="pl-PL"/>
        </w:rPr>
      </w:pPr>
      <w:r>
        <w:rPr>
          <w:rFonts w:eastAsia="Calibri"/>
          <w:color w:val="000000"/>
          <w:lang w:val="pl-PL"/>
        </w:rPr>
        <w:t>Wynagrodzenie netto za jedną Operację wynosi dokładnie 20 EUR i nie zależy od Wartości referencyjnej. Do ceny netto dolicza się właściwy VAT.</w:t>
      </w:r>
    </w:p>
    <w:p>
      <w:pPr>
        <w:keepNext/>
        <w:keepLines/>
        <w:numPr>
          <w:ilvl w:val="0"/>
          <w:numId w:val="22"/>
        </w:numPr>
      </w:pPr>
      <w:r>
        <w:rPr>
          <w:rFonts w:eastAsia="Calibri"/>
          <w:color w:val="000000"/>
          <w:lang w:val="pl-PL"/>
        </w:rPr>
        <w:t>Wartość referencyjna:</w:t>
      </w:r>
    </w:p>
    <w:p>
      <w:pPr>
        <w:keepLines/>
        <w:numPr>
          <w:ilvl w:val="0"/>
          <w:numId w:val="23"/>
        </w:numPr>
        <w:spacing w:after="60"/>
        <w:rPr>
          <w:lang w:val="pl-PL"/>
        </w:rPr>
      </w:pPr>
      <w:r>
        <w:rPr>
          <w:rFonts w:eastAsia="Calibri"/>
          <w:color w:val="000000"/>
          <w:lang w:val="pl-PL"/>
        </w:rPr>
        <w:t>jest wyłącznie deklarowanym parametrem bezpieczeństwa i dopuszczalności Operacji;</w:t>
      </w:r>
    </w:p>
    <w:p>
      <w:pPr>
        <w:keepLines/>
        <w:numPr>
          <w:ilvl w:val="0"/>
          <w:numId w:val="23"/>
        </w:numPr>
        <w:spacing w:after="60"/>
        <w:rPr>
          <w:lang w:val="pl-PL"/>
        </w:rPr>
      </w:pPr>
      <w:r>
        <w:rPr>
          <w:rFonts w:eastAsia="Calibri"/>
          <w:color w:val="000000"/>
          <w:lang w:val="pl-PL"/>
        </w:rPr>
        <w:t>nie wpływa na cenę jednej Operacji;</w:t>
      </w:r>
    </w:p>
    <w:p>
      <w:pPr>
        <w:keepLines/>
        <w:numPr>
          <w:ilvl w:val="0"/>
          <w:numId w:val="23"/>
        </w:numPr>
        <w:spacing w:after="60"/>
        <w:rPr>
          <w:lang w:val="pl-PL"/>
        </w:rPr>
      </w:pPr>
      <w:r>
        <w:rPr>
          <w:rFonts w:eastAsia="Calibri"/>
          <w:color w:val="000000"/>
          <w:lang w:val="pl-PL"/>
        </w:rPr>
        <w:t>nie jest kwotą przyjmowaną, przechowywaną ani przekazywaną przez Operatora w imieniu Klienta lub osoby trzeciej;</w:t>
      </w:r>
    </w:p>
    <w:p>
      <w:pPr>
        <w:keepLines/>
        <w:numPr>
          <w:ilvl w:val="0"/>
          <w:numId w:val="23"/>
        </w:numPr>
        <w:spacing w:after="60"/>
        <w:rPr>
          <w:lang w:val="pl-PL"/>
        </w:rPr>
      </w:pPr>
      <w:r>
        <w:rPr>
          <w:rFonts w:eastAsia="Calibri"/>
          <w:color w:val="000000"/>
          <w:lang w:val="pl-PL"/>
        </w:rPr>
        <w:t>nie oznacza udziału Operatora w transakcji Klienta ani potwierdzenia jej wartości lub wykonania.</w:t>
      </w:r>
    </w:p>
    <w:p>
      <w:pPr>
        <w:keepLines/>
        <w:numPr>
          <w:ilvl w:val="0"/>
          <w:numId w:val="22"/>
        </w:numPr>
        <w:rPr>
          <w:lang w:val="pl-PL"/>
        </w:rPr>
      </w:pPr>
      <w:r>
        <w:rPr>
          <w:rFonts w:eastAsia="Calibri"/>
          <w:color w:val="000000"/>
          <w:lang w:val="pl-PL"/>
        </w:rPr>
        <w:t>Klient odpowiada za prawdziwość Wartości referencyjnej i identyfikatorów bazowej Operacji. Wartość poniżej 100,00 EUR, powyżej 200,00 EUR, wyrażona w walucie innej niż EUR, niebędąca prawidłową liczbą albo mająca więcej niż dwa miejsca po przecinku jest odrzucana fail-closed przed ofertą, rezerwacją, płatnością, settlementem i utworzeniem Wyniku technicznego. API zwraca odpowiednio stabilne kody event_value_below_minimum, event_value_above_maximum, event_value_currency_invalid albo event_value_invalid_or_precision.</w:t>
      </w:r>
    </w:p>
    <w:p>
      <w:pPr>
        <w:keepLines/>
        <w:numPr>
          <w:ilvl w:val="0"/>
          <w:numId w:val="22"/>
        </w:numPr>
        <w:rPr>
          <w:lang w:val="pl-PL"/>
        </w:rPr>
      </w:pPr>
      <w:r>
        <w:t>Przed rozpoczęciem płatnej Operacji API przekazuje wersjonowaną ofertę zawierającą cenę netto 20 EUR, właściwy VAT i cenę brutto, dokładną ilość i atomic amount Circle EURC, Base eip155:8453, kontrakt 0x60a3E35Cc302bFA44Cb288Bc5a4F316Fdb1adb42, decimals=6, payer, przypięty pay_to, konkretnego zatwierdzonego facilitatora, źródło i czas kursu EURC/EUR, payment ID, wersje polityk i termin ważności.</w:t>
      </w:r>
    </w:p>
    <w:p>
      <w:pPr>
        <w:keepLines/>
        <w:numPr>
          <w:ilvl w:val="0"/>
          <w:numId w:val="22"/>
        </w:numPr>
        <w:rPr>
          <w:lang w:val="pl-PL"/>
        </w:rPr>
      </w:pPr>
      <w:r>
        <w:t>Zapłata następuje machine-to-machine przez x402 w natywnym Circle EURC na Base (eip155:8453), kontrakt 0x60a3E35Cc302bFA44Cb288Bc5a4F316Fdb1adb42, na zatwierdzony Safe Operatora wskazany jako pay_to. Adapter facilitatora korzysta z Coinbase Developer Platform (CDP). Base Sepolia służy wyłącznie testom bez wartości finansowej.</w:t>
      </w:r>
    </w:p>
    <w:p>
      <w:pPr>
        <w:keepLines/>
        <w:numPr>
          <w:ilvl w:val="0"/>
          <w:numId w:val="22"/>
        </w:numPr>
        <w:rPr>
          <w:lang w:val="pl-PL"/>
        </w:rPr>
      </w:pPr>
      <w:r>
        <w:rPr>
          <w:rFonts w:eastAsia="Calibri"/>
          <w:color w:val="000000"/>
          <w:lang w:val="pl-PL"/>
        </w:rPr>
        <w:t>Płatność x402 stanowi wyłącznie zapłatę Klienta za własną Usługę Operatora.</w:t>
      </w:r>
    </w:p>
    <w:p>
      <w:pPr>
        <w:keepLines/>
        <w:numPr>
          <w:ilvl w:val="0"/>
          <w:numId w:val="22"/>
        </w:numPr>
      </w:pPr>
      <w:r>
        <w:rPr>
          <w:rFonts w:eastAsia="Calibri"/>
          <w:color w:val="000000"/>
          <w:lang w:val="pl-PL"/>
        </w:rPr>
        <w:t>Operator nie:</w:t>
      </w:r>
    </w:p>
    <w:p>
      <w:pPr>
        <w:keepLines/>
        <w:numPr>
          <w:ilvl w:val="0"/>
          <w:numId w:val="24"/>
        </w:numPr>
        <w:spacing w:after="60"/>
      </w:pPr>
      <w:r>
        <w:rPr>
          <w:rFonts w:eastAsia="Calibri"/>
          <w:color w:val="000000"/>
          <w:lang w:val="pl-PL"/>
        </w:rPr>
        <w:t>prowadzi marketplace;</w:t>
      </w:r>
    </w:p>
    <w:p>
      <w:pPr>
        <w:keepLines/>
        <w:numPr>
          <w:ilvl w:val="0"/>
          <w:numId w:val="24"/>
        </w:numPr>
        <w:spacing w:after="60"/>
        <w:rPr>
          <w:lang w:val="pl-PL"/>
        </w:rPr>
      </w:pPr>
      <w:r>
        <w:rPr>
          <w:rFonts w:eastAsia="Calibri"/>
          <w:color w:val="000000"/>
          <w:lang w:val="pl-PL"/>
        </w:rPr>
        <w:t>prowadzi rachunku ani salda Klienta;</w:t>
      </w:r>
    </w:p>
    <w:p>
      <w:pPr>
        <w:keepLines/>
        <w:numPr>
          <w:ilvl w:val="0"/>
          <w:numId w:val="24"/>
        </w:numPr>
        <w:spacing w:after="60"/>
        <w:rPr>
          <w:lang w:val="pl-PL"/>
        </w:rPr>
      </w:pPr>
      <w:r>
        <w:rPr>
          <w:rFonts w:eastAsia="Calibri"/>
          <w:color w:val="000000"/>
          <w:lang w:val="pl-PL"/>
        </w:rPr>
        <w:t>inicjuje ani wykonuje płatności Klienta na rzecz osób trzecich;</w:t>
      </w:r>
    </w:p>
    <w:p>
      <w:pPr>
        <w:keepLines/>
        <w:numPr>
          <w:ilvl w:val="0"/>
          <w:numId w:val="24"/>
        </w:numPr>
        <w:spacing w:after="60"/>
      </w:pPr>
      <w:r>
        <w:rPr>
          <w:rFonts w:eastAsia="Calibri"/>
          <w:color w:val="000000"/>
          <w:lang w:val="pl-PL"/>
        </w:rPr>
        <w:t xml:space="preserve">świadczy </w:t>
      </w:r>
      <w:proofErr w:type="spellStart"/>
      <w:r>
        <w:rPr>
          <w:rFonts w:eastAsia="Calibri"/>
          <w:color w:val="000000"/>
          <w:lang w:val="pl-PL"/>
        </w:rPr>
        <w:t>escrow</w:t>
      </w:r>
      <w:proofErr w:type="spellEnd"/>
      <w:r>
        <w:rPr>
          <w:rFonts w:eastAsia="Calibri"/>
          <w:color w:val="000000"/>
          <w:lang w:val="pl-PL"/>
        </w:rPr>
        <w:t xml:space="preserve"> ani </w:t>
      </w:r>
      <w:proofErr w:type="spellStart"/>
      <w:r>
        <w:rPr>
          <w:rFonts w:eastAsia="Calibri"/>
          <w:color w:val="000000"/>
          <w:lang w:val="pl-PL"/>
        </w:rPr>
        <w:t>custody</w:t>
      </w:r>
      <w:proofErr w:type="spellEnd"/>
      <w:r>
        <w:rPr>
          <w:rFonts w:eastAsia="Calibri"/>
          <w:color w:val="000000"/>
          <w:lang w:val="pl-PL"/>
        </w:rPr>
        <w:t>;</w:t>
      </w:r>
    </w:p>
    <w:p>
      <w:pPr>
        <w:keepLines/>
        <w:numPr>
          <w:ilvl w:val="0"/>
          <w:numId w:val="24"/>
        </w:numPr>
        <w:spacing w:after="60"/>
        <w:rPr>
          <w:lang w:val="pl-PL"/>
        </w:rPr>
      </w:pPr>
      <w:r>
        <w:rPr>
          <w:rFonts w:eastAsia="Calibri"/>
          <w:color w:val="000000"/>
          <w:lang w:val="pl-PL"/>
        </w:rPr>
        <w:t>przechowuje środków w imieniu Klienta lub osoby trzeciej;</w:t>
      </w:r>
    </w:p>
    <w:p>
      <w:pPr>
        <w:keepLines/>
        <w:numPr>
          <w:ilvl w:val="0"/>
          <w:numId w:val="24"/>
        </w:numPr>
        <w:spacing w:after="60"/>
        <w:rPr>
          <w:lang w:val="pl-PL"/>
        </w:rPr>
      </w:pPr>
      <w:r>
        <w:rPr>
          <w:rFonts w:eastAsia="Calibri"/>
          <w:color w:val="000000"/>
          <w:lang w:val="pl-PL"/>
        </w:rPr>
        <w:t>prowadzi portfela, giełdy ani wymiany aktywów;</w:t>
      </w:r>
    </w:p>
    <w:p>
      <w:pPr>
        <w:keepLines/>
        <w:numPr>
          <w:ilvl w:val="0"/>
          <w:numId w:val="24"/>
        </w:numPr>
        <w:spacing w:after="60"/>
        <w:rPr>
          <w:lang w:val="pl-PL"/>
        </w:rPr>
      </w:pPr>
      <w:r>
        <w:rPr>
          <w:rFonts w:eastAsia="Calibri"/>
          <w:color w:val="000000"/>
          <w:lang w:val="pl-PL"/>
        </w:rPr>
        <w:t>świadczy usług płatniczych, inwestycyjnych, CASP, VASP ani przekazu pieniężnego;</w:t>
      </w:r>
    </w:p>
    <w:p>
      <w:pPr>
        <w:keepLines/>
        <w:numPr>
          <w:ilvl w:val="0"/>
          <w:numId w:val="24"/>
        </w:numPr>
        <w:spacing w:after="60"/>
        <w:rPr>
          <w:lang w:val="pl-PL"/>
        </w:rPr>
      </w:pPr>
      <w:r>
        <w:rPr>
          <w:rFonts w:eastAsia="Calibri"/>
          <w:color w:val="000000"/>
          <w:lang w:val="pl-PL"/>
        </w:rPr>
        <w:t>prowadzi AML/KYC jako usługi finansowej dla Klienta.</w:t>
      </w:r>
      <w:r>
        <w:rPr>
          <w:rStyle w:val="Odwoaniedokomentarza"/>
        </w:rPr>
      </w:r>
    </w:p>
    <w:p>
      <w:pPr>
        <w:keepLines/>
        <w:numPr>
          <w:ilvl w:val="0"/>
          <w:numId w:val="22"/>
        </w:numPr>
        <w:rPr>
          <w:lang w:val="pl-PL"/>
        </w:rPr>
      </w:pPr>
      <w:r>
        <w:t>Po potwierdzonej płatności, ukończeniu Proofu i uzgodnieniu zapisów proces rozliczeniowy tworzy jedną fakturę w EUR, FA(3), zapis kolejki KSeF oraz wynik wysyłki z numerem KSeF i UPO. Zagraniczny Klient uzyskuje czytelną fakturę jako dokument HTML z wymaganym QR i odnośnikiem w uwierzytelnionej ścieżce M2M. Przyjęcie faktury przez KSeF oraz jej dostarczenie Klientowi są potwierdzane odrębnymi dowodami.</w:t>
      </w:r>
    </w:p>
    <w:p>
      <w:pPr>
        <w:pStyle w:val="Nagwek1"/>
      </w:pPr>
      <w:r>
        <w:rPr>
          <w:rFonts w:eastAsia="Calibri"/>
          <w:lang w:val="pl-PL"/>
        </w:rPr>
        <w:t>10. Dane, Payload i DPA</w:t>
      </w:r>
    </w:p>
    <w:p>
      <w:pPr>
        <w:keepLines/>
        <w:numPr>
          <w:ilvl w:val="0"/>
          <w:numId w:val="25"/>
        </w:numPr>
        <w:rPr>
          <w:lang w:val="pl-PL"/>
        </w:rPr>
      </w:pPr>
      <w:r>
        <w:rPr>
          <w:rFonts w:eastAsia="Calibri"/>
          <w:color w:val="000000"/>
          <w:lang w:val="pl-PL"/>
        </w:rPr>
        <w:t>Klient przesyła wyłącznie dane niezbędne do wykonania Operacji.</w:t>
      </w:r>
    </w:p>
    <w:p>
      <w:pPr>
        <w:keepLines/>
        <w:numPr>
          <w:ilvl w:val="0"/>
          <w:numId w:val="25"/>
        </w:numPr>
        <w:rPr>
          <w:lang w:val="pl-PL"/>
        </w:rPr>
      </w:pPr>
      <w:r>
        <w:rPr>
          <w:rFonts w:eastAsia="Calibri"/>
          <w:color w:val="000000"/>
          <w:lang w:val="pl-PL"/>
        </w:rPr>
        <w:t>Klient odpowiada za legalność danych, podstawę ich przetwarzania, zakres Payloadu i zgodność z Dokumentacją API.</w:t>
      </w:r>
    </w:p>
    <w:p>
      <w:pPr>
        <w:keepLines/>
        <w:numPr>
          <w:ilvl w:val="0"/>
          <w:numId w:val="25"/>
        </w:numPr>
        <w:rPr>
          <w:lang w:val="pl-PL"/>
        </w:rPr>
      </w:pPr>
      <w:r>
        <w:rPr>
          <w:rFonts w:eastAsia="Calibri"/>
          <w:color w:val="000000"/>
          <w:lang w:val="pl-PL"/>
        </w:rPr>
        <w:t>Preferowane są identyfikatory techniczne, metadane i hashe zamiast pełnych danych osobowych.</w:t>
      </w:r>
    </w:p>
    <w:p>
      <w:pPr>
        <w:keepLines/>
        <w:numPr>
          <w:ilvl w:val="0"/>
          <w:numId w:val="25"/>
        </w:numPr>
        <w:rPr>
          <w:lang w:val="pl-PL"/>
        </w:rPr>
      </w:pPr>
      <w:r>
        <w:rPr>
          <w:lang w:val="pl-PL"/>
        </w:rPr>
        <w:t xml:space="preserve">Automatyczny onboarding nie służy do przekazywania Payloadu, jego próbek ani załączników. W konfiguracji opisanej w tej wersji surowy Payload webhook_integrity.v1 jest przetwarzany przejściowo. Nie jest zapisywany w trwałej konfiguracji dopuszczenia Operacji, bazie, logach ani kopiach aplikacji. Utrwala się zobowiązanie kryptograficzne wiążące Żądanie: hashe i wymagane identyfikatory, bez jego pełnej treści. Wprowadzenie trwałego Payloadu wymaga uprzedniej aktualizacji celu, dokumentów i retencji.</w:t>
      </w:r>
    </w:p>
    <w:p>
      <w:pPr>
        <w:keepLines/>
        <w:numPr>
          <w:ilvl w:val="0"/>
          <w:numId w:val="25"/>
        </w:numPr>
        <w:rPr>
          <w:lang w:val="pl-PL"/>
        </w:rPr>
      </w:pPr>
      <w:r>
        <w:rPr>
          <w:lang w:val="pl-PL"/>
        </w:rPr>
        <w:t xml:space="preserve">Surowy Payload jest buforowany przejściowo na czas obsługi Żądania. Po zakończeniu, odrzuceniu, timeoutcie albo błędzie aplikacja zwalnia swoje referencje i zeruje posiadane bufory bajtowe. Zarządzanie pamięcią odpowiada za zwolnienie obiektów i ciągów tekstowych; nie jest to zapewnienie fizycznego wyzerowania całej pamięci procesu lub systemu.</w:t>
      </w:r>
    </w:p>
    <w:p>
      <w:pPr>
        <w:keepLines/>
        <w:numPr>
          <w:ilvl w:val="0"/>
          <w:numId w:val="25"/>
        </w:numPr>
        <w:rPr>
          <w:lang w:val="pl-PL"/>
        </w:rPr>
      </w:pPr>
      <w:r>
        <w:rPr>
          <w:lang w:val="pl-PL"/>
        </w:rPr>
        <w:t xml:space="preserve">Operator przechowuje niezbędne identyfikatory, timestampy, statusy, metadane i hashe zgodnie z Polityką Prywatności i DPA. Nie są one automatycznie anonimowe. Metadane techniczne, w tym decyzje przed płatnością, podlegają retencji operacyjnej, a faktury i niezbędne dowody rozliczenia odrębnej retencji księgowej. Samo powiązanie z płatnością nie uzasadnia przechowywania całego rekordu technicznego przez okres księgowy. Po usunięciu przechowywanej kopii Wyniku nie można już odzyskać jej z Usługi; pozostaje możliwość niezależnej weryfikacji kopii zachowanej przez Klienta. Usunięcie nie uprawnia do ponownego pobrania tej samej opłaty.</w:t>
      </w:r>
    </w:p>
    <w:p>
      <w:pPr>
        <w:keepLines/>
        <w:numPr>
          <w:ilvl w:val="0"/>
          <w:numId w:val="25"/>
        </w:numPr>
        <w:rPr>
          <w:lang w:val="pl-PL"/>
        </w:rPr>
      </w:pPr>
      <w:r>
        <w:rPr>
          <w:lang w:val="pl-PL"/>
        </w:rPr>
        <w:t xml:space="preserve">W automatycznym onboardingu Agent akceptuje ramową DPA na podstawie Delegacji obejmującej enter_dpa, również przy deklaracji braku danych osobowych w Payloadzie. Przetwarzanie w imieniu Klienta wymaga udokumentowanych instrukcji zgodnych z Delegacją i DPA. Brak, wygaśnięcie, odwołanie lub niespójność blokują Buyer Binding albo aplikacyjny odczyt Payloadu. Nie ma ręcznego obejścia. Kontrola ważności DPA i Delegacji dotyczy momentu przed odczytem treści przez aplikację. Obejmuje aktualną akceptację dokumentów, zakres, ważność, odwołanie oraz zgodność Klienta, Agenta, Walleta i źródła. Po odebraniu treści system ponawia kontrolę. Sprawdzenie podpisu źródła wymagające treści następuje po jej odczycie; same nagłówki nie uwierzytelniają nadawcy. Bajty mogą wcześniej dotrzeć do infrastruktury sieciowej, systemu operacyjnego i pośrednika HTTP kończącego TLS, opisanego w Polityce Prywatności i DPA.</w:t>
      </w:r>
    </w:p>
    <w:p>
      <w:pPr>
        <w:keepLines/>
        <w:numPr>
          <w:ilvl w:val="0"/>
          <w:numId w:val="25"/>
        </w:numPr>
      </w:pPr>
      <w:r>
        <w:rPr>
          <w:rFonts w:eastAsia="Calibri"/>
          <w:color w:val="000000"/>
          <w:lang w:val="pl-PL"/>
        </w:rPr>
        <w:t>Klient nie może przesyłać:</w:t>
      </w:r>
    </w:p>
    <w:p>
      <w:pPr>
        <w:keepLines/>
        <w:numPr>
          <w:ilvl w:val="0"/>
          <w:numId w:val="26"/>
        </w:numPr>
        <w:spacing w:after="60"/>
      </w:pPr>
      <w:r>
        <w:rPr>
          <w:rFonts w:eastAsia="Calibri"/>
          <w:color w:val="000000"/>
          <w:lang w:val="pl-PL"/>
        </w:rPr>
        <w:t>szczególnych kategorii danych osobowych;</w:t>
      </w:r>
    </w:p>
    <w:p>
      <w:pPr>
        <w:keepLines/>
        <w:numPr>
          <w:ilvl w:val="0"/>
          <w:numId w:val="26"/>
        </w:numPr>
        <w:spacing w:after="60"/>
        <w:rPr>
          <w:lang w:val="pl-PL"/>
        </w:rPr>
      </w:pPr>
      <w:r>
        <w:rPr>
          <w:rFonts w:eastAsia="Calibri"/>
          <w:color w:val="000000"/>
          <w:lang w:val="pl-PL"/>
        </w:rPr>
        <w:t>danych medycznych, danych dzieci ani danych karnych;</w:t>
      </w:r>
    </w:p>
    <w:p>
      <w:pPr>
        <w:keepLines/>
        <w:numPr>
          <w:ilvl w:val="0"/>
          <w:numId w:val="26"/>
        </w:numPr>
        <w:spacing w:after="60"/>
      </w:pPr>
      <w:r>
        <w:rPr>
          <w:rFonts w:eastAsia="Calibri"/>
          <w:color w:val="000000"/>
          <w:lang w:val="pl-PL"/>
        </w:rPr>
        <w:t>danych bez podstawy prawnej;</w:t>
      </w:r>
    </w:p>
    <w:p>
      <w:pPr>
        <w:keepLines/>
        <w:numPr>
          <w:ilvl w:val="0"/>
          <w:numId w:val="26"/>
        </w:numPr>
        <w:spacing w:after="60"/>
        <w:rPr>
          <w:lang w:val="pl-PL"/>
        </w:rPr>
      </w:pPr>
      <w:r>
        <w:rPr>
          <w:rFonts w:eastAsia="Calibri"/>
          <w:color w:val="000000"/>
          <w:lang w:val="pl-PL"/>
        </w:rPr>
        <w:t>haseł, kluczy prywatnych, seed phrase, surowych API keys ani surowych podpisów płatności;</w:t>
      </w:r>
    </w:p>
    <w:p>
      <w:pPr>
        <w:keepLines/>
        <w:numPr>
          <w:ilvl w:val="0"/>
          <w:numId w:val="26"/>
        </w:numPr>
        <w:spacing w:after="60"/>
        <w:rPr>
          <w:lang w:val="pl-PL"/>
        </w:rPr>
      </w:pPr>
      <w:r>
        <w:rPr>
          <w:rFonts w:eastAsia="Calibri"/>
          <w:color w:val="000000"/>
          <w:lang w:val="pl-PL"/>
        </w:rPr>
        <w:t>złośliwego kodu lub treści bezprawnych.</w:t>
      </w:r>
    </w:p>
    <w:p>
      <w:pPr>
        <w:pStyle w:val="Nagwek1"/>
      </w:pPr>
      <w:r>
        <w:rPr>
          <w:rFonts w:eastAsia="Calibri"/>
          <w:lang w:val="pl-PL"/>
        </w:rPr>
        <w:t>11. Zakazane zastosowania</w:t>
      </w:r>
    </w:p>
    <w:p>
      <w:pPr>
        <w:keepLines/>
        <w:numPr>
          <w:ilvl w:val="0"/>
          <w:numId w:val="27"/>
        </w:numPr>
      </w:pPr>
      <w:r>
        <w:rPr>
          <w:rFonts w:eastAsia="Calibri"/>
          <w:color w:val="000000"/>
          <w:lang w:val="pl-PL"/>
        </w:rPr>
        <w:t>Zabronione jest używanie Usługi:</w:t>
      </w:r>
    </w:p>
    <w:p>
      <w:pPr>
        <w:keepLines/>
        <w:numPr>
          <w:ilvl w:val="0"/>
          <w:numId w:val="28"/>
        </w:numPr>
        <w:spacing w:after="60"/>
      </w:pPr>
      <w:r>
        <w:t>przez konsumentów, wszystkie osoby fizyczne, w tym JDG i ich odpowiedniki, albo podmioty nieposiadające osobowości prawnej;</w:t>
      </w:r>
    </w:p>
    <w:p>
      <w:pPr>
        <w:keepLines/>
        <w:numPr>
          <w:ilvl w:val="0"/>
          <w:numId w:val="28"/>
        </w:numPr>
        <w:spacing w:after="60"/>
        <w:rPr>
          <w:lang w:val="pl-PL"/>
        </w:rPr>
      </w:pPr>
      <w:r>
        <w:rPr>
          <w:rFonts w:eastAsia="Calibri"/>
          <w:color w:val="000000"/>
          <w:lang w:val="pl-PL"/>
        </w:rPr>
        <w:t>do działań niezgodnych z prawem lub prawami osób trzecich;</w:t>
      </w:r>
    </w:p>
    <w:p>
      <w:pPr>
        <w:keepLines/>
        <w:numPr>
          <w:ilvl w:val="0"/>
          <w:numId w:val="28"/>
        </w:numPr>
        <w:spacing w:after="60"/>
        <w:rPr>
          <w:lang w:val="pl-PL"/>
        </w:rPr>
      </w:pPr>
      <w:r>
        <w:rPr>
          <w:rFonts w:eastAsia="Calibri"/>
          <w:color w:val="000000"/>
          <w:lang w:val="pl-PL"/>
        </w:rPr>
        <w:t>do obchodzenia zabezpieczeń, limitów, sankcji lub kontroli eksportu;</w:t>
      </w:r>
    </w:p>
    <w:p>
      <w:pPr>
        <w:keepLines/>
        <w:numPr>
          <w:ilvl w:val="0"/>
          <w:numId w:val="28"/>
        </w:numPr>
        <w:spacing w:after="60"/>
        <w:rPr>
          <w:lang w:val="pl-PL"/>
        </w:rPr>
      </w:pPr>
      <w:r>
        <w:rPr>
          <w:rFonts w:eastAsia="Calibri"/>
          <w:color w:val="000000"/>
          <w:lang w:val="pl-PL"/>
        </w:rPr>
        <w:t xml:space="preserve">do </w:t>
      </w:r>
      <w:proofErr w:type="spellStart"/>
      <w:r>
        <w:rPr>
          <w:rFonts w:eastAsia="Calibri"/>
          <w:color w:val="000000"/>
          <w:lang w:val="pl-PL"/>
        </w:rPr>
        <w:t>phishingu</w:t>
      </w:r>
      <w:proofErr w:type="spellEnd"/>
      <w:r>
        <w:rPr>
          <w:rFonts w:eastAsia="Calibri"/>
          <w:color w:val="000000"/>
          <w:lang w:val="pl-PL"/>
        </w:rPr>
        <w:t xml:space="preserve">, fraudu, nieuprawnionego dostępu lub kradzieży </w:t>
      </w:r>
      <w:proofErr w:type="spellStart"/>
      <w:r>
        <w:rPr>
          <w:rFonts w:eastAsia="Calibri"/>
          <w:color w:val="000000"/>
          <w:lang w:val="pl-PL"/>
        </w:rPr>
        <w:t>Credentialu</w:t>
      </w:r>
      <w:proofErr w:type="spellEnd"/>
      <w:r>
        <w:rPr>
          <w:rFonts w:eastAsia="Calibri"/>
          <w:color w:val="000000"/>
          <w:lang w:val="pl-PL"/>
        </w:rPr>
        <w:t>;</w:t>
      </w:r>
    </w:p>
    <w:p>
      <w:pPr>
        <w:keepLines/>
        <w:numPr>
          <w:ilvl w:val="0"/>
          <w:numId w:val="28"/>
        </w:numPr>
        <w:spacing w:after="60"/>
        <w:rPr>
          <w:lang w:val="pl-PL"/>
        </w:rPr>
      </w:pPr>
      <w:r>
        <w:rPr>
          <w:rFonts w:eastAsia="Calibri"/>
          <w:color w:val="000000"/>
          <w:lang w:val="pl-PL"/>
        </w:rPr>
        <w:t>do decyzji regulowanych, finansowych, medycznych, pracowniczych, ubezpieczeniowych lub krytycznych dla bezpieczeństwa;</w:t>
      </w:r>
    </w:p>
    <w:p>
      <w:pPr>
        <w:keepLines/>
        <w:numPr>
          <w:ilvl w:val="0"/>
          <w:numId w:val="28"/>
        </w:numPr>
        <w:spacing w:after="60"/>
        <w:rPr>
          <w:lang w:val="pl-PL"/>
        </w:rPr>
      </w:pPr>
      <w:r>
        <w:rPr>
          <w:rFonts w:eastAsia="Calibri"/>
          <w:color w:val="000000"/>
          <w:lang w:val="pl-PL"/>
        </w:rPr>
        <w:t>jako prawnego potwierdzenia transakcji albo świadczenia;</w:t>
      </w:r>
    </w:p>
    <w:p>
      <w:pPr>
        <w:keepLines/>
        <w:numPr>
          <w:ilvl w:val="0"/>
          <w:numId w:val="28"/>
        </w:numPr>
        <w:spacing w:after="60"/>
        <w:rPr>
          <w:lang w:val="pl-PL"/>
        </w:rPr>
      </w:pPr>
      <w:r>
        <w:rPr>
          <w:rFonts w:eastAsia="Calibri"/>
          <w:color w:val="000000"/>
          <w:lang w:val="pl-PL"/>
        </w:rPr>
        <w:t>do kopiowania, odtwarzania lub nieuprawnionego wykorzystywania Usługi, API albo Dokumentacji API;</w:t>
      </w:r>
    </w:p>
    <w:p>
      <w:pPr>
        <w:keepLines/>
        <w:numPr>
          <w:ilvl w:val="0"/>
          <w:numId w:val="28"/>
        </w:numPr>
        <w:spacing w:after="60"/>
        <w:rPr>
          <w:lang w:val="pl-PL"/>
        </w:rPr>
      </w:pPr>
      <w:r>
        <w:rPr>
          <w:rFonts w:eastAsia="Calibri"/>
          <w:color w:val="000000"/>
          <w:lang w:val="pl-PL"/>
        </w:rPr>
        <w:t>do testów bezpieczeństwa bez pisemnej zgody Operatora.</w:t>
      </w:r>
    </w:p>
    <w:p>
      <w:pPr>
        <w:keepLines/>
        <w:numPr>
          <w:ilvl w:val="0"/>
          <w:numId w:val="27"/>
        </w:numPr>
        <w:rPr>
          <w:lang w:val="pl-PL"/>
        </w:rPr>
      </w:pPr>
      <w:r>
        <w:rPr>
          <w:rFonts w:eastAsia="Calibri"/>
          <w:color w:val="000000"/>
          <w:lang w:val="pl-PL"/>
        </w:rPr>
        <w:lastRenderedPageBreak/>
        <w:t xml:space="preserve">Usługa na podstawie niniejszego Regulaminu nie jest oferowana podmiotom regulowanym, administracji publicznej, podmiotom objętym szczególnymi wymogami NIS2 lub DORA ani podmiotom sektora finansowego. Ewentualna przyszła oferta dla takich podmiotów wymaga odrębnej umowy poza procesem opisanym w Regulaminie i nie może zostać uruchomiona przez indywidualną zgodę Operatora w bieżącym </w:t>
      </w:r>
      <w:proofErr w:type="spellStart"/>
      <w:r>
        <w:rPr>
          <w:rFonts w:eastAsia="Calibri"/>
          <w:color w:val="000000"/>
          <w:lang w:val="pl-PL"/>
        </w:rPr>
        <w:t>onboardingu</w:t>
      </w:r>
      <w:proofErr w:type="spellEnd"/>
      <w:r>
        <w:rPr>
          <w:rFonts w:eastAsia="Calibri"/>
          <w:color w:val="000000"/>
          <w:lang w:val="pl-PL"/>
        </w:rPr>
        <w:t>.</w:t>
      </w:r>
    </w:p>
    <w:p>
      <w:pPr>
        <w:pStyle w:val="Nagwek1"/>
      </w:pPr>
      <w:r>
        <w:rPr>
          <w:rFonts w:eastAsia="Calibri"/>
          <w:lang w:val="pl-PL"/>
        </w:rPr>
        <w:t>12. Limity, dostępność i prace utrzymaniowe</w:t>
      </w:r>
    </w:p>
    <w:p>
      <w:pPr>
        <w:keepLines/>
        <w:numPr>
          <w:ilvl w:val="0"/>
          <w:numId w:val="29"/>
        </w:numPr>
        <w:rPr>
          <w:lang w:val="pl-PL"/>
        </w:rPr>
      </w:pPr>
      <w:r>
        <w:rPr>
          <w:rFonts w:eastAsia="Calibri"/>
          <w:color w:val="000000"/>
          <w:lang w:val="pl-PL"/>
        </w:rPr>
        <w:t>Operator może stosować limity liczby Żądań, rozmiaru Payloadu, współbieżności, timeoutów, retry, endpointów i zakresu Buyer Bindingu.</w:t>
      </w:r>
    </w:p>
    <w:p>
      <w:pPr>
        <w:keepLines/>
        <w:numPr>
          <w:ilvl w:val="0"/>
          <w:numId w:val="29"/>
        </w:numPr>
        <w:rPr>
          <w:lang w:val="pl-PL"/>
        </w:rPr>
      </w:pPr>
      <w:r>
        <w:t>Pierwszy realny pilot pozwala Agentowi wykonać jedną płatną Operację w granicach Delegacji, po czym system automatycznie przechodzi w FREEZE, czyli blokadę kolejnych płatności. Po pełnym uzgodnieniu wyniku Operator może ponownie uruchomić sprzedaż z limitem zgodnym z Delegacją; nie zatwierdza ręcznie każdej Operacji. Nie stosuje się automatycznego ponowienia niejednoznacznego rozliczenia.</w:t>
      </w:r>
    </w:p>
    <w:p>
      <w:pPr>
        <w:keepLines/>
        <w:numPr>
          <w:ilvl w:val="0"/>
          <w:numId w:val="29"/>
        </w:numPr>
        <w:rPr>
          <w:lang w:val="pl-PL"/>
        </w:rPr>
      </w:pPr>
      <w:r>
        <w:rPr>
          <w:rFonts w:eastAsia="Calibri"/>
          <w:color w:val="000000"/>
          <w:lang w:val="pl-PL"/>
        </w:rPr>
        <w:t>O ile strony nie zawrą odrębnego SLA, Operator nie gwarantuje dostępności Usługi przez całą dobę ani określonego czasu odpowiedzi.</w:t>
      </w:r>
    </w:p>
    <w:p>
      <w:pPr>
        <w:keepLines/>
        <w:numPr>
          <w:ilvl w:val="0"/>
          <w:numId w:val="29"/>
        </w:numPr>
        <w:rPr>
          <w:lang w:val="pl-PL"/>
        </w:rPr>
      </w:pPr>
      <w:r>
        <w:rPr>
          <w:rFonts w:eastAsia="Calibri"/>
          <w:color w:val="000000"/>
          <w:lang w:val="pl-PL"/>
        </w:rPr>
        <w:t>Usługa może działać w określonych oknach operacyjnych.</w:t>
      </w:r>
    </w:p>
    <w:p>
      <w:pPr>
        <w:keepLines/>
        <w:numPr>
          <w:ilvl w:val="0"/>
          <w:numId w:val="29"/>
        </w:numPr>
        <w:rPr>
          <w:lang w:val="pl-PL"/>
        </w:rPr>
      </w:pPr>
      <w:r>
        <w:rPr>
          <w:rFonts w:eastAsia="Calibri"/>
          <w:color w:val="000000"/>
          <w:lang w:val="pl-PL"/>
        </w:rPr>
        <w:t>Operator może prowadzić planowane prace utrzymaniowe oraz nieplanowane prace awaryjne.</w:t>
      </w:r>
    </w:p>
    <w:p>
      <w:pPr>
        <w:keepLines/>
        <w:numPr>
          <w:ilvl w:val="0"/>
          <w:numId w:val="29"/>
        </w:numPr>
        <w:rPr>
          <w:lang w:val="pl-PL"/>
        </w:rPr>
      </w:pPr>
      <w:r>
        <w:rPr>
          <w:rFonts w:eastAsia="Calibri"/>
          <w:color w:val="000000"/>
          <w:lang w:val="pl-PL"/>
        </w:rPr>
        <w:t>O planowanych pracach Operator informuje z rozsądnym wyprzedzeniem, jeżeli jest to możliwe i uzasadnione.</w:t>
      </w:r>
    </w:p>
    <w:p>
      <w:pPr>
        <w:keepLines/>
        <w:numPr>
          <w:ilvl w:val="0"/>
          <w:numId w:val="29"/>
        </w:numPr>
        <w:rPr>
          <w:lang w:val="pl-PL"/>
        </w:rPr>
      </w:pPr>
      <w:r>
        <w:rPr>
          <w:rFonts w:eastAsia="Calibri"/>
          <w:color w:val="000000"/>
          <w:lang w:val="pl-PL"/>
        </w:rPr>
        <w:t xml:space="preserve">Operator może bez uprzedzenia ograniczyć lub zatrzymać Usługę, jeżeli wymaga tego bezpieczeństwo, zgodność, awaria albo mechanizm </w:t>
      </w:r>
      <w:proofErr w:type="spellStart"/>
      <w:r>
        <w:rPr>
          <w:rFonts w:eastAsia="Calibri"/>
          <w:color w:val="000000"/>
          <w:lang w:val="pl-PL"/>
        </w:rPr>
        <w:t>fail-closed</w:t>
      </w:r>
      <w:proofErr w:type="spellEnd"/>
      <w:r>
        <w:rPr>
          <w:rFonts w:eastAsia="Calibri"/>
          <w:color w:val="000000"/>
          <w:lang w:val="pl-PL"/>
        </w:rPr>
        <w:t>.</w:t>
      </w:r>
    </w:p>
    <w:p>
      <w:pPr>
        <w:keepLines/>
        <w:numPr>
          <w:ilvl w:val="0"/>
          <w:numId w:val="29"/>
        </w:numPr>
        <w:rPr>
          <w:lang w:val="pl-PL"/>
        </w:rPr>
      </w:pPr>
      <w:r>
        <w:rPr>
          <w:rFonts w:eastAsia="Calibri"/>
          <w:color w:val="000000"/>
          <w:lang w:val="pl-PL"/>
        </w:rPr>
        <w:t>Wersjonowanie i zasady wycofywania API są określane w Dokumentacji API.</w:t>
      </w:r>
    </w:p>
    <w:p>
      <w:pPr>
        <w:pStyle w:val="Nagwek1"/>
      </w:pPr>
      <w:r>
        <w:rPr>
          <w:rFonts w:eastAsia="Calibri"/>
          <w:lang w:val="pl-PL"/>
        </w:rPr>
        <w:t>13. Ciągłość działania i odtwarzanie</w:t>
      </w:r>
    </w:p>
    <w:p>
      <w:pPr>
        <w:keepLines/>
        <w:numPr>
          <w:ilvl w:val="0"/>
          <w:numId w:val="30"/>
        </w:numPr>
        <w:rPr>
          <w:lang w:val="pl-PL"/>
        </w:rPr>
      </w:pPr>
      <w:r>
        <w:t>Przed rozpoczęciem świadczenia Usługi Operator wdraża i utrzymuje politykę ryzyka potencjalnej niekwalifikowanej usługi zaufania, procedury onboardingu, kontroli, incydentów, zakończenia, kopii, weryfikacji integralności, odtwarzania i reconciliation. Znaczący incydent podlega ścieżce zawiadomienia do 24 godzin, jeżeli wymaga tego art. 19a eIDAS.</w:t>
      </w:r>
    </w:p>
    <w:p>
      <w:pPr>
        <w:keepLines/>
        <w:numPr>
          <w:ilvl w:val="0"/>
          <w:numId w:val="30"/>
        </w:numPr>
      </w:pPr>
      <w:r>
        <w:rPr>
          <w:rFonts w:eastAsia="Calibri"/>
          <w:color w:val="000000"/>
          <w:lang w:val="pl-PL"/>
        </w:rPr>
        <w:t>Po awarii Operator może:</w:t>
      </w:r>
    </w:p>
    <w:p>
      <w:pPr>
        <w:keepLines/>
        <w:numPr>
          <w:ilvl w:val="0"/>
          <w:numId w:val="31"/>
        </w:numPr>
        <w:spacing w:after="60"/>
      </w:pPr>
      <w:r>
        <w:rPr>
          <w:rFonts w:eastAsia="Calibri"/>
          <w:color w:val="000000"/>
          <w:lang w:val="pl-PL"/>
        </w:rPr>
        <w:t>zweryfikować ostatni potwierdzony stan;</w:t>
      </w:r>
    </w:p>
    <w:p>
      <w:pPr>
        <w:keepLines/>
        <w:numPr>
          <w:ilvl w:val="0"/>
          <w:numId w:val="31"/>
        </w:numPr>
        <w:spacing w:after="60"/>
        <w:rPr>
          <w:lang w:val="pl-PL"/>
        </w:rPr>
      </w:pPr>
      <w:r>
        <w:rPr>
          <w:rFonts w:eastAsia="Calibri"/>
          <w:color w:val="000000"/>
          <w:lang w:val="pl-PL"/>
        </w:rPr>
        <w:t>odizolować Operacje o niejednoznacznym statusie;</w:t>
      </w:r>
    </w:p>
    <w:p>
      <w:pPr>
        <w:keepLines/>
        <w:numPr>
          <w:ilvl w:val="0"/>
          <w:numId w:val="31"/>
        </w:numPr>
        <w:spacing w:after="60"/>
      </w:pPr>
      <w:r>
        <w:rPr>
          <w:rFonts w:eastAsia="Calibri"/>
          <w:color w:val="000000"/>
          <w:lang w:val="pl-PL"/>
        </w:rPr>
        <w:t xml:space="preserve">przeprowadzić </w:t>
      </w:r>
      <w:proofErr w:type="spellStart"/>
      <w:r>
        <w:rPr>
          <w:rFonts w:eastAsia="Calibri"/>
          <w:color w:val="000000"/>
          <w:lang w:val="pl-PL"/>
        </w:rPr>
        <w:t>reconciliation</w:t>
      </w:r>
      <w:proofErr w:type="spellEnd"/>
      <w:r>
        <w:rPr>
          <w:rFonts w:eastAsia="Calibri"/>
          <w:color w:val="000000"/>
          <w:lang w:val="pl-PL"/>
        </w:rPr>
        <w:t>;</w:t>
      </w:r>
    </w:p>
    <w:p>
      <w:pPr>
        <w:keepLines/>
        <w:numPr>
          <w:ilvl w:val="0"/>
          <w:numId w:val="31"/>
        </w:numPr>
        <w:spacing w:after="60"/>
        <w:rPr>
          <w:lang w:val="pl-PL"/>
        </w:rPr>
      </w:pPr>
      <w:r>
        <w:rPr>
          <w:rFonts w:eastAsia="Calibri"/>
          <w:color w:val="000000"/>
          <w:lang w:val="pl-PL"/>
        </w:rPr>
        <w:t>wznowić przetwarzanie dopiero po bezpiecznym ustaleniu stanu.</w:t>
      </w:r>
    </w:p>
    <w:p>
      <w:pPr>
        <w:keepLines/>
        <w:numPr>
          <w:ilvl w:val="0"/>
          <w:numId w:val="30"/>
        </w:numPr>
        <w:rPr>
          <w:lang w:val="pl-PL"/>
        </w:rPr>
      </w:pPr>
      <w:r>
        <w:rPr>
          <w:rFonts w:eastAsia="Calibri"/>
          <w:color w:val="000000"/>
          <w:lang w:val="pl-PL"/>
        </w:rPr>
        <w:t>Operator nie wykonuje automatycznego ponowienia Operacji o niejednoznacznym statusie rozliczenia, jeżeli mogłoby to spowodować podwójne rozliczenie.</w:t>
      </w:r>
    </w:p>
    <w:p>
      <w:pPr>
        <w:keepLines/>
        <w:numPr>
          <w:ilvl w:val="0"/>
          <w:numId w:val="30"/>
        </w:numPr>
        <w:rPr>
          <w:lang w:val="pl-PL"/>
        </w:rPr>
      </w:pPr>
      <w:r>
        <w:rPr>
          <w:rFonts w:eastAsia="Calibri"/>
          <w:color w:val="000000"/>
          <w:lang w:val="pl-PL"/>
        </w:rPr>
        <w:t>O ile strony nie zawrą odrębnej umowy o poziomie świadczenia usług (SLA), Operator nie gwarantuje określonego docelowego punktu odtworzenia danych (RPO), docelowego czasu odtworzenia (RTO) ani nieprzerwanej dostępności.</w:t>
      </w:r>
    </w:p>
    <w:p>
      <w:pPr>
        <w:pStyle w:val="Nagwek1"/>
      </w:pPr>
      <w:r>
        <w:rPr>
          <w:rFonts w:eastAsia="Calibri"/>
          <w:lang w:val="pl-PL"/>
        </w:rPr>
        <w:t>14. Reklamacje</w:t>
      </w:r>
    </w:p>
    <w:p>
      <w:pPr>
        <w:keepLines/>
        <w:numPr>
          <w:ilvl w:val="0"/>
          <w:numId w:val="32"/>
        </w:numPr>
        <w:rPr>
          <w:lang w:val="pl-PL"/>
        </w:rPr>
      </w:pPr>
      <w:r>
        <w:rPr>
          <w:rFonts w:eastAsia="Calibri"/>
          <w:color w:val="000000"/>
          <w:lang w:val="pl-PL"/>
        </w:rPr>
        <w:t xml:space="preserve">Klient może złożyć reklamację dotyczącą działania </w:t>
      </w:r>
      <w:r>
        <w:rPr>
          <w:rFonts w:eastAsia="Calibri"/>
          <w:color w:val="000000"/>
          <w:lang w:val="pl-PL"/>
        </w:rPr>
        <w:t>własnej</w:t>
      </w:r>
      <w:r>
        <w:rPr>
          <w:rStyle w:val="Odwoaniedokomentarza"/>
        </w:rPr>
      </w:r>
      <w:r>
        <w:rPr>
          <w:rFonts w:eastAsia="Calibri"/>
          <w:color w:val="000000"/>
          <w:lang w:val="pl-PL"/>
        </w:rPr>
        <w:t xml:space="preserve"> Usługi </w:t>
      </w:r>
      <w:proofErr w:type="spellStart"/>
      <w:r>
        <w:rPr>
          <w:rFonts w:eastAsia="Calibri"/>
          <w:color w:val="000000"/>
          <w:lang w:val="pl-PL"/>
        </w:rPr>
        <w:t>IntegrityPhase</w:t>
      </w:r>
      <w:proofErr w:type="spellEnd"/>
      <w:r>
        <w:rPr>
          <w:rFonts w:eastAsia="Calibri"/>
          <w:color w:val="000000"/>
          <w:lang w:val="pl-PL"/>
        </w:rPr>
        <w:t>.</w:t>
      </w:r>
    </w:p>
    <w:p>
      <w:pPr>
        <w:keepLines/>
        <w:numPr>
          <w:ilvl w:val="0"/>
          <w:numId w:val="32"/>
        </w:numPr>
        <w:rPr>
          <w:lang w:val="pl-PL"/>
        </w:rPr>
      </w:pPr>
      <w:r>
        <w:rPr>
          <w:rFonts w:eastAsia="Calibri"/>
          <w:color w:val="000000"/>
          <w:lang w:val="pl-PL"/>
        </w:rPr>
        <w:t>Reklamację należy przesłać na adres support@integrityphase.com.</w:t>
      </w:r>
    </w:p>
    <w:p>
      <w:pPr>
        <w:keepLines/>
        <w:numPr>
          <w:ilvl w:val="0"/>
          <w:numId w:val="32"/>
        </w:numPr>
      </w:pPr>
      <w:r>
        <w:rPr>
          <w:rFonts w:eastAsia="Calibri"/>
          <w:color w:val="000000"/>
          <w:lang w:val="pl-PL"/>
        </w:rPr>
        <w:t>Reklamacja powinna zawierać:</w:t>
      </w:r>
    </w:p>
    <w:p>
      <w:pPr>
        <w:keepLines/>
        <w:numPr>
          <w:ilvl w:val="0"/>
          <w:numId w:val="33"/>
        </w:numPr>
        <w:spacing w:after="60"/>
      </w:pPr>
      <w:r>
        <w:rPr>
          <w:rFonts w:eastAsia="Calibri"/>
          <w:color w:val="000000"/>
          <w:lang w:val="pl-PL"/>
        </w:rPr>
        <w:t>dane Klienta;</w:t>
      </w:r>
    </w:p>
    <w:p>
      <w:pPr>
        <w:keepLines/>
        <w:numPr>
          <w:ilvl w:val="0"/>
          <w:numId w:val="33"/>
        </w:numPr>
        <w:spacing w:after="60"/>
      </w:pPr>
      <w:r>
        <w:rPr>
          <w:rFonts w:eastAsia="Calibri"/>
          <w:color w:val="000000"/>
        </w:rPr>
        <w:t>Operation ID albo request ID, a jeżeli nie zostały otrzymane – dostępny identyfikator płatności lub transakcji pozwalający ustalić Operację;</w:t>
      </w:r>
    </w:p>
    <w:p>
      <w:pPr>
        <w:keepLines/>
        <w:numPr>
          <w:ilvl w:val="0"/>
          <w:numId w:val="33"/>
        </w:numPr>
        <w:spacing w:after="60"/>
      </w:pPr>
      <w:r>
        <w:rPr>
          <w:rFonts w:eastAsia="Calibri"/>
          <w:color w:val="000000"/>
          <w:lang w:val="pl-PL"/>
        </w:rPr>
        <w:t>datę i czas zdarzenia;</w:t>
      </w:r>
    </w:p>
    <w:p>
      <w:pPr>
        <w:keepLines/>
        <w:numPr>
          <w:ilvl w:val="0"/>
          <w:numId w:val="33"/>
        </w:numPr>
        <w:spacing w:after="60"/>
      </w:pPr>
      <w:r>
        <w:rPr>
          <w:rFonts w:eastAsia="Calibri"/>
          <w:color w:val="000000"/>
          <w:lang w:val="pl-PL"/>
        </w:rPr>
        <w:lastRenderedPageBreak/>
        <w:t>opis problemu;</w:t>
      </w:r>
    </w:p>
    <w:p>
      <w:pPr>
        <w:keepLines/>
        <w:numPr>
          <w:ilvl w:val="0"/>
          <w:numId w:val="33"/>
        </w:numPr>
        <w:spacing w:after="60"/>
      </w:pPr>
      <w:r>
        <w:rPr>
          <w:rFonts w:eastAsia="Calibri"/>
          <w:color w:val="000000"/>
          <w:lang w:val="pl-PL"/>
        </w:rPr>
        <w:t>oczekiwany sposób rozwiązania;</w:t>
      </w:r>
    </w:p>
    <w:p>
      <w:pPr>
        <w:keepLines/>
        <w:numPr>
          <w:ilvl w:val="0"/>
          <w:numId w:val="33"/>
        </w:numPr>
        <w:spacing w:after="60"/>
        <w:rPr>
          <w:lang w:val="pl-PL"/>
        </w:rPr>
      </w:pPr>
      <w:r>
        <w:rPr>
          <w:rFonts w:eastAsia="Calibri"/>
          <w:color w:val="000000"/>
          <w:lang w:val="pl-PL"/>
        </w:rPr>
        <w:t>identyfikatory i załączniki techniczne niezbędne do rozpoznania sprawy, niezawierające Payloadu, danych osobowych osób trzecich, sekretów ani kluczy. Payloadu i danych osobowych osób trzecich nie należy przesyłać pocztą elektroniczną;</w:t>
      </w:r>
    </w:p>
    <w:p>
      <w:pPr>
        <w:keepLines/>
        <w:numPr>
          <w:ilvl w:val="0"/>
          <w:numId w:val="32"/>
        </w:numPr>
        <w:rPr>
          <w:lang w:val="pl-PL"/>
        </w:rPr>
      </w:pPr>
      <w:r>
        <w:rPr>
          <w:rFonts w:eastAsia="Calibri"/>
          <w:color w:val="000000"/>
          <w:lang w:val="pl-PL"/>
        </w:rPr>
        <w:t>Operator potwierdza otrzymanie reklamacji i udziela odpowiedzi bez zbędnej zwłoki, nie później niż w terminie 30 dni od jej otrzymania. Jeżeli sprawa wymaga uzupełnienia, Operator wskazuje brakujące informacje; termin biegnie od otrzymania kompletnej reklamacji.</w:t>
      </w:r>
    </w:p>
    <w:p>
      <w:pPr>
        <w:keepLines/>
        <w:numPr>
          <w:ilvl w:val="0"/>
          <w:numId w:val="32"/>
        </w:numPr>
        <w:rPr>
          <w:lang w:val="pl-PL"/>
        </w:rPr>
      </w:pPr>
      <w:r>
        <w:rPr>
          <w:rFonts w:eastAsia="Calibri"/>
          <w:color w:val="000000"/>
          <w:lang w:val="pl-PL"/>
        </w:rPr>
        <w:t>Reklamacja nie może dotyczyć wartości, powodzenia lub skutków transakcji Klienta, jakości jego danych ani wykonania świadczenia przez osobę trzecią.</w:t>
      </w:r>
    </w:p>
    <w:p>
      <w:pPr>
        <w:pStyle w:val="Nagwek1"/>
      </w:pPr>
      <w:r>
        <w:rPr>
          <w:rFonts w:eastAsia="Calibri"/>
          <w:lang w:val="pl-PL"/>
        </w:rPr>
        <w:t>15. Zwroty, korekty i błędy</w:t>
      </w:r>
    </w:p>
    <w:p>
      <w:pPr>
        <w:keepLines/>
        <w:numPr>
          <w:ilvl w:val="0"/>
          <w:numId w:val="34"/>
        </w:numPr>
        <w:rPr>
          <w:lang w:val="pl-PL"/>
        </w:rPr>
      </w:pPr>
      <w:r>
        <w:rPr>
          <w:rFonts w:eastAsia="Calibri"/>
          <w:color w:val="000000"/>
          <w:lang w:val="pl-PL"/>
        </w:rPr>
        <w:t>Zwrot albo korekta mogą zostać zastosowane, gdy płatność została technicznie przyjęta przez potwierdzony settlement x402, lecz z przyczyn leżących po stronie Operatora Usługa nie została ukończona albo Wynik techniczny nie został dostarczony. Brak Proofu lub faktury nie wyłącza możliwości zgłoszenia ani rozpoznania reklamacji; Operator ustala stan płatności na podstawie dostępnych identyfikatorów i reconciliation.</w:t>
      </w:r>
    </w:p>
    <w:p>
      <w:pPr>
        <w:keepLines/>
        <w:numPr>
          <w:ilvl w:val="0"/>
          <w:numId w:val="34"/>
        </w:numPr>
        <w:rPr>
          <w:lang w:val="pl-PL"/>
        </w:rPr>
      </w:pPr>
      <w:r>
        <w:rPr>
          <w:rFonts w:eastAsia="Calibri"/>
          <w:color w:val="000000"/>
          <w:lang w:val="pl-PL"/>
        </w:rPr>
        <w:t>Zwrot nie przysługuje wyłącznie z tego powodu, że:</w:t>
      </w:r>
    </w:p>
    <w:p>
      <w:pPr>
        <w:keepLines/>
        <w:numPr>
          <w:ilvl w:val="0"/>
          <w:numId w:val="35"/>
        </w:numPr>
        <w:spacing w:after="60"/>
      </w:pPr>
      <w:r>
        <w:rPr>
          <w:rFonts w:eastAsia="Calibri"/>
          <w:color w:val="000000"/>
          <w:lang w:val="pl-PL"/>
        </w:rPr>
        <w:t>Klient zmienił decyzję biznesową;</w:t>
      </w:r>
    </w:p>
    <w:p>
      <w:pPr>
        <w:keepLines/>
        <w:numPr>
          <w:ilvl w:val="0"/>
          <w:numId w:val="35"/>
        </w:numPr>
        <w:spacing w:after="60"/>
        <w:rPr>
          <w:lang w:val="pl-PL"/>
        </w:rPr>
      </w:pPr>
      <w:r>
        <w:rPr>
          <w:rFonts w:eastAsia="Calibri"/>
          <w:color w:val="000000"/>
          <w:lang w:val="pl-PL"/>
        </w:rPr>
        <w:t>dane Klienta były błędne albo niepełne;</w:t>
      </w:r>
    </w:p>
    <w:p>
      <w:pPr>
        <w:keepLines/>
        <w:numPr>
          <w:ilvl w:val="0"/>
          <w:numId w:val="35"/>
        </w:numPr>
        <w:spacing w:after="60"/>
        <w:rPr>
          <w:lang w:val="pl-PL"/>
        </w:rPr>
      </w:pPr>
      <w:r>
        <w:rPr>
          <w:rFonts w:eastAsia="Calibri"/>
          <w:color w:val="000000"/>
          <w:lang w:val="pl-PL"/>
        </w:rPr>
        <w:t>transakcja, dostawa lub usługa osoby trzeciej nie została wykonana;</w:t>
      </w:r>
    </w:p>
    <w:p>
      <w:pPr>
        <w:keepLines/>
        <w:numPr>
          <w:ilvl w:val="0"/>
          <w:numId w:val="35"/>
        </w:numPr>
        <w:spacing w:after="60"/>
        <w:rPr>
          <w:lang w:val="pl-PL"/>
        </w:rPr>
      </w:pPr>
      <w:r>
        <w:rPr>
          <w:rFonts w:eastAsia="Calibri"/>
          <w:color w:val="000000"/>
          <w:lang w:val="pl-PL"/>
        </w:rPr>
        <w:t>Klient wykorzystał Wynik techniczny poza zakresem Usługi.</w:t>
      </w:r>
    </w:p>
    <w:p>
      <w:pPr>
        <w:keepLines/>
        <w:numPr>
          <w:ilvl w:val="0"/>
          <w:numId w:val="34"/>
        </w:numPr>
        <w:rPr>
          <w:lang w:val="pl-PL"/>
        </w:rPr>
      </w:pPr>
      <w:r>
        <w:rPr>
          <w:rFonts w:eastAsia="Calibri"/>
          <w:color w:val="000000"/>
          <w:lang w:val="pl-PL"/>
        </w:rPr>
        <w:t>Zwrot nie może przekroczyć opłaty zapłaconej za Operację, której dotyczy reklamacja, z zastrzeżeniem bezwzględnie obowiązujących przepisów.</w:t>
      </w:r>
    </w:p>
    <w:p>
      <w:pPr>
        <w:keepLines/>
        <w:numPr>
          <w:ilvl w:val="0"/>
          <w:numId w:val="34"/>
        </w:numPr>
        <w:rPr>
          <w:lang w:val="pl-PL"/>
        </w:rPr>
      </w:pPr>
      <w:r>
        <w:rPr>
          <w:rFonts w:eastAsia="Calibri"/>
          <w:color w:val="000000"/>
          <w:lang w:val="pl-PL"/>
        </w:rPr>
        <w:t>Korekta dokumentów rozliczeniowych następuje zgodnie z obowiązującym modelem księgowo-podatkowym.</w:t>
      </w:r>
    </w:p>
    <w:p>
      <w:pPr>
        <w:pStyle w:val="Nagwek1"/>
      </w:pPr>
      <w:r>
        <w:rPr>
          <w:rFonts w:eastAsia="Calibri"/>
          <w:lang w:val="pl-PL"/>
        </w:rPr>
        <w:t>16. Odpowiedzialność</w:t>
      </w:r>
    </w:p>
    <w:p>
      <w:pPr>
        <w:keepLines/>
        <w:numPr>
          <w:ilvl w:val="0"/>
          <w:numId w:val="36"/>
        </w:numPr>
      </w:pPr>
      <w:r>
        <w:rPr>
          <w:rFonts w:eastAsia="Calibri"/>
          <w:color w:val="000000"/>
          <w:lang w:val="pl-PL"/>
        </w:rPr>
        <w:t>Klient odpowiada za:</w:t>
      </w:r>
    </w:p>
    <w:p>
      <w:pPr>
        <w:keepLines/>
        <w:numPr>
          <w:ilvl w:val="0"/>
          <w:numId w:val="37"/>
        </w:numPr>
        <w:spacing w:after="60"/>
      </w:pPr>
      <w:r>
        <w:rPr>
          <w:rFonts w:eastAsia="Calibri"/>
          <w:color w:val="000000"/>
          <w:lang w:val="pl-PL"/>
        </w:rPr>
        <w:t>Payload i Wartość referencyjną;</w:t>
      </w:r>
    </w:p>
    <w:p>
      <w:pPr>
        <w:keepLines/>
        <w:numPr>
          <w:ilvl w:val="0"/>
          <w:numId w:val="37"/>
        </w:numPr>
        <w:spacing w:after="60"/>
      </w:pPr>
      <w:r>
        <w:rPr>
          <w:rFonts w:eastAsia="Calibri"/>
          <w:color w:val="000000"/>
          <w:lang w:val="pl-PL"/>
        </w:rPr>
        <w:t>legalność i poprawność danych;</w:t>
      </w:r>
    </w:p>
    <w:p>
      <w:pPr>
        <w:keepLines/>
        <w:numPr>
          <w:ilvl w:val="0"/>
          <w:numId w:val="37"/>
        </w:numPr>
        <w:spacing w:after="60"/>
        <w:rPr>
          <w:lang w:val="pl-PL"/>
        </w:rPr>
      </w:pPr>
      <w:r>
        <w:t>własne systemy, Integracje, Delegacje, agentów, Wallety i Buyer Binding;</w:t>
      </w:r>
    </w:p>
    <w:p>
      <w:pPr>
        <w:keepLines/>
        <w:numPr>
          <w:ilvl w:val="0"/>
          <w:numId w:val="37"/>
        </w:numPr>
        <w:spacing w:after="60"/>
        <w:rPr>
          <w:lang w:val="pl-PL"/>
        </w:rPr>
      </w:pPr>
      <w:r>
        <w:rPr>
          <w:rFonts w:eastAsia="Calibri"/>
          <w:color w:val="000000"/>
          <w:lang w:val="pl-PL"/>
        </w:rPr>
        <w:t>decyzje podjęte na podstawie Wyniku technicznego;</w:t>
      </w:r>
    </w:p>
    <w:p>
      <w:pPr>
        <w:keepLines/>
        <w:numPr>
          <w:ilvl w:val="0"/>
          <w:numId w:val="37"/>
        </w:numPr>
        <w:spacing w:after="60"/>
        <w:rPr>
          <w:lang w:val="pl-PL"/>
        </w:rPr>
      </w:pPr>
      <w:r>
        <w:rPr>
          <w:rFonts w:eastAsia="Calibri"/>
          <w:color w:val="000000"/>
          <w:lang w:val="pl-PL"/>
        </w:rPr>
        <w:t>działania swoich użytkowników i kontrahentów.</w:t>
      </w:r>
    </w:p>
    <w:p>
      <w:pPr>
        <w:keepLines/>
        <w:numPr>
          <w:ilvl w:val="0"/>
          <w:numId w:val="36"/>
        </w:numPr>
        <w:rPr>
          <w:lang w:val="pl-PL"/>
        </w:rPr>
      </w:pPr>
      <w:r>
        <w:rPr>
          <w:rFonts w:eastAsia="Calibri"/>
          <w:color w:val="000000"/>
          <w:lang w:val="pl-PL"/>
        </w:rPr>
        <w:t>W zakresie dozwolonym przez prawo Operator odpowiada wyłącznie za rzeczywistą i bezpośrednią szkodę wynikającą z zawinionego niewykonania własnej Usługi.</w:t>
      </w:r>
    </w:p>
    <w:p>
      <w:pPr>
        <w:keepLines/>
        <w:numPr>
          <w:ilvl w:val="0"/>
          <w:numId w:val="36"/>
        </w:numPr>
        <w:rPr>
          <w:lang w:val="pl-PL"/>
        </w:rPr>
      </w:pPr>
      <w:r>
        <w:rPr>
          <w:rFonts w:eastAsia="Calibri"/>
          <w:color w:val="000000"/>
          <w:lang w:val="pl-PL"/>
        </w:rPr>
        <w:t xml:space="preserve">Łączna odpowiedzialność Operatora związana z daną Operacją nie przekracza wynagrodzenia netto zapłaconego za tę </w:t>
      </w:r>
      <w:r>
        <w:rPr>
          <w:rFonts w:eastAsia="Calibri"/>
          <w:color w:val="000000"/>
          <w:lang w:val="pl-PL"/>
        </w:rPr>
        <w:t>Operację</w:t>
      </w:r>
      <w:r>
        <w:rPr>
          <w:rStyle w:val="Odwoaniedokomentarza"/>
        </w:rPr>
      </w:r>
      <w:r>
        <w:rPr>
          <w:rFonts w:eastAsia="Calibri"/>
          <w:color w:val="000000"/>
          <w:lang w:val="pl-PL"/>
        </w:rPr>
        <w:t>.</w:t>
      </w:r>
    </w:p>
    <w:p>
      <w:pPr>
        <w:keepLines/>
        <w:numPr>
          <w:ilvl w:val="0"/>
          <w:numId w:val="36"/>
        </w:numPr>
        <w:rPr>
          <w:lang w:val="pl-PL"/>
        </w:rPr>
      </w:pPr>
      <w:r>
        <w:rPr>
          <w:rFonts w:eastAsia="Calibri"/>
          <w:color w:val="000000"/>
          <w:lang w:val="pl-PL"/>
        </w:rPr>
        <w:t>Operator nie odpowiada za utracone korzyści, szkody pośrednie, przerwy biznesowe, utratę danych wynikającą z systemów Klienta ani działania osób trzecich.</w:t>
      </w:r>
    </w:p>
    <w:p>
      <w:pPr>
        <w:keepLines/>
        <w:numPr>
          <w:ilvl w:val="0"/>
          <w:numId w:val="36"/>
        </w:numPr>
        <w:rPr>
          <w:lang w:val="pl-PL"/>
        </w:rPr>
      </w:pPr>
      <w:r>
        <w:rPr>
          <w:rFonts w:eastAsia="Calibri"/>
          <w:color w:val="000000"/>
          <w:lang w:val="pl-PL"/>
        </w:rPr>
        <w:t>Operator nie odpowiada za awarie Internetu, blockchaina Base, dostawców chmurowych, dostawców ochrony sieci, portfeli lub facilitatora x402, chyba że szkoda wynika z zawinionego działania Operatora.</w:t>
      </w:r>
    </w:p>
    <w:p>
      <w:pPr>
        <w:keepLines/>
        <w:numPr>
          <w:ilvl w:val="0"/>
          <w:numId w:val="36"/>
        </w:numPr>
        <w:rPr>
          <w:lang w:val="pl-PL"/>
        </w:rPr>
      </w:pPr>
      <w:r>
        <w:rPr>
          <w:rFonts w:eastAsia="Calibri"/>
          <w:color w:val="000000"/>
          <w:lang w:val="pl-PL"/>
        </w:rPr>
        <w:t>Operator nie odpowiada za incydenty spowodowane złośliwym oprogramowaniem, atakiem lub innym zdarzeniem zewnętrznym pomimo zastosowania odpowiednich zabezpieczeń.</w:t>
      </w:r>
    </w:p>
    <w:p>
      <w:pPr>
        <w:keepLines/>
        <w:numPr>
          <w:ilvl w:val="0"/>
          <w:numId w:val="36"/>
        </w:numPr>
        <w:rPr>
          <w:lang w:val="pl-PL"/>
        </w:rPr>
      </w:pPr>
      <w:r>
        <w:rPr>
          <w:rFonts w:eastAsia="Calibri"/>
          <w:color w:val="000000"/>
          <w:lang w:val="pl-PL"/>
        </w:rPr>
        <w:t>Ograniczenia nie dotyczą odpowiedzialności, której nie można wyłączyć ani ograniczyć zgodnie z prawem.</w:t>
      </w:r>
    </w:p>
    <w:p>
      <w:pPr>
        <w:keepLines/>
        <w:numPr>
          <w:ilvl w:val="0"/>
          <w:numId w:val="36"/>
        </w:numPr>
        <w:rPr>
          <w:lang w:val="pl-PL"/>
        </w:rPr>
      </w:pPr>
      <w:r>
        <w:rPr>
          <w:rFonts w:eastAsia="Calibri"/>
          <w:color w:val="000000"/>
          <w:lang w:val="pl-PL"/>
        </w:rPr>
        <w:lastRenderedPageBreak/>
        <w:t>Strona nie odpowiada za niewykonanie obowiązków spowodowane siłą wyższą w zakresie, w jakim zdarzenie pozostaje poza jej rozsądną kontrolą.</w:t>
      </w:r>
    </w:p>
    <w:p>
      <w:pPr>
        <w:pStyle w:val="Nagwek1"/>
      </w:pPr>
      <w:r>
        <w:rPr>
          <w:rFonts w:eastAsia="Calibri"/>
          <w:lang w:val="pl-PL"/>
        </w:rPr>
        <w:t>17. Zawieszenie i rozwiązanie Umowy</w:t>
      </w:r>
    </w:p>
    <w:p>
      <w:pPr>
        <w:keepLines/>
        <w:numPr>
          <w:ilvl w:val="0"/>
          <w:numId w:val="38"/>
        </w:numPr>
        <w:rPr>
          <w:lang w:val="pl-PL"/>
        </w:rPr>
      </w:pPr>
      <w:r>
        <w:rPr>
          <w:rFonts w:eastAsia="Calibri"/>
          <w:color w:val="000000"/>
          <w:lang w:val="pl-PL"/>
        </w:rPr>
        <w:t>Klient może rozwiązać Umowę w każdym czasie ze skutkiem natychmiastowym na przyszłość przez elektroniczne oświadczenie przesłane Operatorowi.</w:t>
      </w:r>
    </w:p>
    <w:p>
      <w:pPr>
        <w:keepLines/>
        <w:numPr>
          <w:ilvl w:val="0"/>
          <w:numId w:val="38"/>
        </w:numPr>
        <w:rPr>
          <w:lang w:val="pl-PL"/>
        </w:rPr>
      </w:pPr>
      <w:r>
        <w:rPr>
          <w:rFonts w:eastAsia="Calibri"/>
          <w:color w:val="000000"/>
          <w:lang w:val="pl-PL"/>
        </w:rPr>
        <w:t>Operator może wypowiedzieć Umowę ze skutkiem na przyszłość z zachowaniem 14-dniowego okresu wypowiedzenia przez wiadomość przesłaną na adres Klienta, z zastrzeżeniem przypadków niezwłocznego zawieszenia lub rozwiązania wskazanych poniżej.</w:t>
      </w:r>
    </w:p>
    <w:p>
      <w:pPr>
        <w:keepLines/>
        <w:numPr>
          <w:ilvl w:val="0"/>
          <w:numId w:val="38"/>
        </w:numPr>
        <w:rPr>
          <w:lang w:val="pl-PL"/>
        </w:rPr>
      </w:pPr>
      <w:r>
        <w:rPr>
          <w:rFonts w:eastAsia="Calibri"/>
          <w:color w:val="000000"/>
          <w:lang w:val="pl-PL"/>
        </w:rPr>
        <w:t>Operator może niezwłocznie zawiesić dostęp albo rozwiązać Umowę w przypadku:</w:t>
      </w:r>
    </w:p>
    <w:p>
      <w:pPr>
        <w:keepLines/>
        <w:numPr>
          <w:ilvl w:val="0"/>
          <w:numId w:val="39"/>
        </w:numPr>
        <w:spacing w:after="60"/>
      </w:pPr>
      <w:r>
        <w:rPr>
          <w:rFonts w:eastAsia="Calibri"/>
          <w:color w:val="000000"/>
          <w:lang w:val="pl-PL"/>
        </w:rPr>
        <w:t>naruszenia Regulaminu;</w:t>
      </w:r>
    </w:p>
    <w:p>
      <w:pPr>
        <w:keepLines/>
        <w:numPr>
          <w:ilvl w:val="0"/>
          <w:numId w:val="39"/>
        </w:numPr>
        <w:spacing w:after="60"/>
      </w:pPr>
      <w:r>
        <w:rPr>
          <w:rFonts w:eastAsia="Calibri"/>
          <w:color w:val="000000"/>
          <w:lang w:val="pl-PL"/>
        </w:rPr>
        <w:t>nadużycia API;</w:t>
      </w:r>
    </w:p>
    <w:p>
      <w:pPr>
        <w:keepLines/>
        <w:numPr>
          <w:ilvl w:val="0"/>
          <w:numId w:val="39"/>
        </w:numPr>
        <w:spacing w:after="60"/>
      </w:pPr>
      <w:r>
        <w:rPr>
          <w:rFonts w:eastAsia="Calibri"/>
          <w:color w:val="000000"/>
          <w:lang w:val="pl-PL"/>
        </w:rPr>
        <w:t>zagrożenia bezpieczeństwa;</w:t>
      </w:r>
    </w:p>
    <w:p>
      <w:pPr>
        <w:keepLines/>
        <w:numPr>
          <w:ilvl w:val="0"/>
          <w:numId w:val="39"/>
        </w:numPr>
        <w:spacing w:after="60"/>
      </w:pPr>
      <w:r>
        <w:rPr>
          <w:rFonts w:eastAsia="Calibri"/>
          <w:color w:val="000000"/>
          <w:lang w:val="pl-PL"/>
        </w:rPr>
        <w:t>braku wymaganej DPA;</w:t>
      </w:r>
    </w:p>
    <w:p>
      <w:pPr>
        <w:keepLines/>
        <w:numPr>
          <w:ilvl w:val="0"/>
          <w:numId w:val="39"/>
        </w:numPr>
        <w:spacing w:after="60"/>
      </w:pPr>
      <w:r>
        <w:rPr>
          <w:rFonts w:eastAsia="Calibri"/>
          <w:color w:val="000000"/>
          <w:lang w:val="pl-PL"/>
        </w:rPr>
        <w:t>zaległości w zapłacie;</w:t>
      </w:r>
    </w:p>
    <w:p>
      <w:pPr>
        <w:keepLines/>
        <w:numPr>
          <w:ilvl w:val="0"/>
          <w:numId w:val="39"/>
        </w:numPr>
        <w:spacing w:after="60"/>
      </w:pPr>
      <w:r>
        <w:rPr>
          <w:rFonts w:eastAsia="Calibri"/>
          <w:color w:val="000000"/>
          <w:lang w:val="pl-PL"/>
        </w:rPr>
        <w:t>zastosowania regulowanego albo zakazanego;</w:t>
      </w:r>
    </w:p>
    <w:p>
      <w:pPr>
        <w:keepLines/>
        <w:numPr>
          <w:ilvl w:val="0"/>
          <w:numId w:val="39"/>
        </w:numPr>
        <w:spacing w:after="60"/>
        <w:rPr>
          <w:lang w:val="pl-PL"/>
        </w:rPr>
      </w:pPr>
      <w:r>
        <w:rPr>
          <w:rFonts w:eastAsia="Calibri"/>
          <w:color w:val="000000"/>
          <w:lang w:val="pl-PL"/>
        </w:rPr>
        <w:t>wymogu prawa, sankcji albo decyzji właściwego organu.</w:t>
      </w:r>
    </w:p>
    <w:p>
      <w:pPr>
        <w:keepLines/>
        <w:numPr>
          <w:ilvl w:val="0"/>
          <w:numId w:val="38"/>
        </w:numPr>
        <w:rPr>
          <w:lang w:val="pl-PL"/>
        </w:rPr>
      </w:pPr>
      <w:r>
        <w:t>Rozwiązanie Umowy powoduje dezaktywację Buyer Bindingu. Zawieszenie dostępu z przyczyn bezpieczeństwa, odwołania Delegacji, naruszenia Regulaminu lub obowiązku prawnego nie jest ręcznym zatwierdzaniem normalnych Operacji.</w:t>
      </w:r>
    </w:p>
    <w:p>
      <w:pPr>
        <w:keepLines/>
        <w:numPr>
          <w:ilvl w:val="0"/>
          <w:numId w:val="38"/>
        </w:numPr>
        <w:rPr>
          <w:lang w:val="pl-PL"/>
        </w:rPr>
      </w:pPr>
      <w:r>
        <w:rPr>
          <w:rFonts w:eastAsia="Calibri"/>
          <w:color w:val="000000"/>
          <w:lang w:val="pl-PL"/>
        </w:rPr>
        <w:t>Rozwiązanie Umowy nie wpływa na obowiązek zapłaty za ukończone Operacje ani na postanowienia dotyczące odpowiedzialności, własności intelektualnej, danych, reklamacji i roszczeń.</w:t>
      </w:r>
    </w:p>
    <w:p>
      <w:pPr>
        <w:pStyle w:val="Nagwek1"/>
      </w:pPr>
      <w:r>
        <w:rPr>
          <w:rFonts w:eastAsia="Calibri"/>
          <w:lang w:val="pl-PL"/>
        </w:rPr>
        <w:t>18. Własność intelektualna</w:t>
      </w:r>
    </w:p>
    <w:p>
      <w:pPr>
        <w:keepLines/>
        <w:numPr>
          <w:ilvl w:val="0"/>
          <w:numId w:val="40"/>
        </w:numPr>
        <w:rPr>
          <w:lang w:val="pl-PL"/>
        </w:rPr>
      </w:pPr>
      <w:r>
        <w:rPr>
          <w:rFonts w:eastAsia="Calibri"/>
          <w:color w:val="000000"/>
          <w:lang w:val="pl-PL"/>
        </w:rPr>
        <w:t>Prawa do IntegrityPhase, API, Dokumentacji API, oprogramowania, modeli, schematów, nazw, oznaczeń i know-how należą do Operatora albo właściwych uprawnionych podmiotów.</w:t>
      </w:r>
    </w:p>
    <w:p>
      <w:pPr>
        <w:keepLines/>
        <w:numPr>
          <w:ilvl w:val="0"/>
          <w:numId w:val="40"/>
        </w:numPr>
        <w:rPr>
          <w:lang w:val="pl-PL"/>
        </w:rPr>
      </w:pPr>
      <w:r>
        <w:rPr>
          <w:rFonts w:eastAsia="Calibri"/>
          <w:color w:val="000000"/>
          <w:lang w:val="pl-PL"/>
        </w:rPr>
        <w:t>Klient otrzymuje ograniczone, niewyłączne, nieprzenoszalne i odwołalne prawo korzystania z API wyłącznie w zakresie Umowy.</w:t>
      </w:r>
    </w:p>
    <w:p>
      <w:pPr>
        <w:keepLines/>
        <w:numPr>
          <w:ilvl w:val="0"/>
          <w:numId w:val="40"/>
        </w:numPr>
        <w:rPr>
          <w:lang w:val="pl-PL"/>
        </w:rPr>
      </w:pPr>
      <w:r>
        <w:rPr>
          <w:rFonts w:eastAsia="Calibri"/>
          <w:color w:val="000000"/>
          <w:lang w:val="pl-PL"/>
        </w:rPr>
        <w:t xml:space="preserve">Klient zachowuje prawa do swoich danych i </w:t>
      </w:r>
      <w:r>
        <w:rPr>
          <w:rFonts w:eastAsia="Calibri"/>
          <w:color w:val="000000"/>
          <w:lang w:val="pl-PL"/>
        </w:rPr>
        <w:t>systemów</w:t>
      </w:r>
      <w:r>
        <w:rPr>
          <w:rStyle w:val="Odwoaniedokomentarza"/>
        </w:rPr>
      </w:r>
      <w:r>
        <w:rPr>
          <w:rFonts w:eastAsia="Calibri"/>
          <w:color w:val="000000"/>
          <w:lang w:val="pl-PL"/>
        </w:rPr>
        <w:t>.</w:t>
      </w:r>
    </w:p>
    <w:p>
      <w:pPr/>
      <w:r>
        <w:t>Klient może bez ograniczeń terytorialnych i czasowych utrwalać, kopiować i wykorzystywać otrzymany Proof w swojej działalności oraz przekazać jego kompletną, niezmienioną kopię kontrahentowi lub innej osobie w celu niezależnej weryfikacji i wykorzystania jako poświadczenia wykonanych kontroli. W zakresie praw do Proofu przysługujących Operatorowi udziela on Klientowi oraz takiemu odbiorcy niewyłącznej licencji na te czynności, w tym przechowywanie kopii i niezależną weryfikację. Udostępnienie wymaga zachowania praw osób trzecich, poufności i zasad ochrony danych. Nie rozszerza znaczenia Proofu ani nie przenosi praw do API, oprogramowania, Dokumentacji API, schematów, polityk lub know-how Operatora.</w:t>
      </w:r>
    </w:p>
    <w:p>
      <w:pPr>
        <w:keepLines/>
        <w:numPr>
          <w:ilvl w:val="0"/>
          <w:numId w:val="40"/>
        </w:numPr>
        <w:rPr>
          <w:lang w:val="pl-PL"/>
        </w:rPr>
      </w:pPr>
      <w:r>
        <w:rPr>
          <w:rFonts w:eastAsia="Calibri"/>
          <w:color w:val="000000"/>
          <w:lang w:val="pl-PL"/>
        </w:rPr>
        <w:t>Zabronione jest nieuprawnione kopiowanie lub odtwarzanie oprogramowania API, reverse engineering, obchodzenie zabezpieczeń, udostępnianie Buyer Bindingu lub kluczy uwierzytelniających poza zakresem Delegacji oraz wykorzystywanie marki IntegrityPhase bez zgody Operatora, z wyjątkiem przypadków bezwzględnie dozwolonych prawem. Zakaz nie ogranicza kopiowania, przekazania i niezależnej weryfikacji Proofu dozwolonych w poprzednim postanowieniu.</w:t>
      </w:r>
    </w:p>
    <w:p>
      <w:pPr>
        <w:keepLines/>
        <w:numPr>
          <w:ilvl w:val="0"/>
          <w:numId w:val="40"/>
        </w:numPr>
        <w:rPr>
          <w:lang w:val="pl-PL"/>
        </w:rPr>
      </w:pPr>
      <w:r>
        <w:rPr>
          <w:rFonts w:eastAsia="Calibri"/>
          <w:color w:val="000000"/>
          <w:lang w:val="pl-PL"/>
        </w:rPr>
        <w:t xml:space="preserve">Regulamin nie potwierdza rejestracji ani ochrony znaku towarowego </w:t>
      </w:r>
      <w:proofErr w:type="spellStart"/>
      <w:r>
        <w:rPr>
          <w:rFonts w:eastAsia="Calibri"/>
          <w:color w:val="000000"/>
          <w:lang w:val="pl-PL"/>
        </w:rPr>
        <w:t>IntegrityPhase</w:t>
      </w:r>
      <w:proofErr w:type="spellEnd"/>
      <w:r>
        <w:rPr>
          <w:rFonts w:eastAsia="Calibri"/>
          <w:color w:val="000000"/>
          <w:lang w:val="pl-PL"/>
        </w:rPr>
        <w:t>.</w:t>
      </w:r>
    </w:p>
    <w:p>
      <w:pPr>
        <w:pStyle w:val="Nagwek1"/>
      </w:pPr>
      <w:r>
        <w:rPr>
          <w:rFonts w:eastAsia="Calibri"/>
          <w:lang w:val="pl-PL"/>
        </w:rPr>
        <w:t>19. Sankcje i kontrola eksportu</w:t>
      </w:r>
    </w:p>
    <w:p>
      <w:pPr>
        <w:keepLines/>
        <w:numPr>
          <w:ilvl w:val="0"/>
          <w:numId w:val="41"/>
        </w:numPr>
        <w:rPr>
          <w:lang w:val="pl-PL"/>
        </w:rPr>
      </w:pPr>
      <w:r>
        <w:rPr>
          <w:rFonts w:eastAsia="Calibri"/>
          <w:color w:val="000000"/>
          <w:lang w:val="pl-PL"/>
        </w:rPr>
        <w:t>Klient nie może korzystać z Usługi z naruszeniem sankcji obowiązujących w Polsce lub Unii Europejskiej ani przepisów kontroli eksportu.</w:t>
      </w:r>
    </w:p>
    <w:p>
      <w:pPr>
        <w:keepLines/>
        <w:numPr>
          <w:ilvl w:val="0"/>
          <w:numId w:val="41"/>
        </w:numPr>
        <w:rPr>
          <w:lang w:val="pl-PL"/>
        </w:rPr>
      </w:pPr>
      <w:r>
        <w:rPr>
          <w:rFonts w:eastAsia="Calibri"/>
          <w:color w:val="000000"/>
          <w:lang w:val="pl-PL"/>
        </w:rPr>
        <w:t>Klient oświadcza, że nie korzysta z Usługi w imieniu podmiotu objętego zakazem ani w celu obejścia ograniczeń.</w:t>
      </w:r>
    </w:p>
    <w:p>
      <w:pPr>
        <w:keepLines/>
        <w:numPr>
          <w:ilvl w:val="0"/>
          <w:numId w:val="41"/>
        </w:numPr>
        <w:rPr>
          <w:lang w:val="pl-PL"/>
        </w:rPr>
      </w:pPr>
      <w:r>
        <w:rPr>
          <w:rFonts w:eastAsia="Calibri"/>
          <w:color w:val="000000"/>
          <w:lang w:val="pl-PL"/>
        </w:rPr>
        <w:lastRenderedPageBreak/>
        <w:t>Mechanizmy systemowe mogą automatycznie odrzucić Operację albo zablokować dostęp w razie niespełnienia wymaganych kontroli sankcyjnych lub eksportowych. Operator może administracyjnie zawiesić albo odwołać Credential lub rozwiązać Umowę w razie uzasadnionego ryzyka sankcyjnego; działanie to jest kontrolą bezpieczeństwa i zgodności infrastruktury, a nie ręcznym zatwierdzaniem Operacji.</w:t>
      </w:r>
    </w:p>
    <w:p>
      <w:pPr>
        <w:pStyle w:val="Nagwek1"/>
      </w:pPr>
      <w:r>
        <w:rPr>
          <w:rFonts w:eastAsia="Calibri"/>
          <w:lang w:val="pl-PL"/>
        </w:rPr>
        <w:t>20. Wersjonowanie, akceptacja i ślad audytowy</w:t>
      </w:r>
    </w:p>
    <w:p>
      <w:pPr>
        <w:keepLines/>
        <w:numPr>
          <w:ilvl w:val="0"/>
          <w:numId w:val="42"/>
        </w:numPr>
        <w:rPr>
          <w:lang w:val="pl-PL"/>
        </w:rPr>
      </w:pPr>
      <w:r>
        <w:t>Regulamin, Polityka Prywatności, DPA, Dokumentacja API, profil Delegacji, polityka eIDAS, cenowa i podatkowa są wersjonowane w Legal Gate.</w:t>
      </w:r>
    </w:p>
    <w:p>
      <w:pPr>
        <w:keepLines/>
        <w:numPr>
          <w:ilvl w:val="0"/>
          <w:numId w:val="42"/>
        </w:numPr>
      </w:pPr>
      <w:r>
        <w:rPr>
          <w:rFonts w:eastAsia="Calibri"/>
          <w:color w:val="000000"/>
          <w:lang w:val="pl-PL"/>
        </w:rPr>
        <w:t>Operator utrwala w szczególności:</w:t>
      </w:r>
    </w:p>
    <w:p>
      <w:pPr>
        <w:keepLines/>
        <w:numPr>
          <w:ilvl w:val="0"/>
          <w:numId w:val="43"/>
        </w:numPr>
        <w:spacing w:after="60"/>
        <w:rPr>
          <w:lang w:val="pl-PL"/>
        </w:rPr>
      </w:pPr>
      <w:r>
        <w:t>identyfikator Klienta, Delegacji, Agenta, Walleta i Buyer Bindingu;</w:t>
      </w:r>
    </w:p>
    <w:p>
      <w:pPr>
        <w:keepLines/>
        <w:numPr>
          <w:ilvl w:val="0"/>
          <w:numId w:val="43"/>
        </w:numPr>
        <w:spacing w:after="60"/>
        <w:rPr>
          <w:lang w:val="pl-PL"/>
        </w:rPr>
      </w:pPr>
      <w:r>
        <w:rPr>
          <w:rFonts w:eastAsia="Calibri"/>
          <w:color w:val="000000"/>
          <w:lang w:val="pl-PL"/>
        </w:rPr>
        <w:t xml:space="preserve">wersję i </w:t>
      </w:r>
      <w:proofErr w:type="spellStart"/>
      <w:r>
        <w:rPr>
          <w:rFonts w:eastAsia="Calibri"/>
          <w:color w:val="000000"/>
          <w:lang w:val="pl-PL"/>
        </w:rPr>
        <w:t>hash</w:t>
      </w:r>
      <w:proofErr w:type="spellEnd"/>
      <w:r>
        <w:rPr>
          <w:rFonts w:eastAsia="Calibri"/>
          <w:color w:val="000000"/>
          <w:lang w:val="pl-PL"/>
        </w:rPr>
        <w:t xml:space="preserve"> zaakceptowanego dokumentu;</w:t>
      </w:r>
    </w:p>
    <w:p>
      <w:pPr>
        <w:keepLines/>
        <w:numPr>
          <w:ilvl w:val="0"/>
          <w:numId w:val="43"/>
        </w:numPr>
        <w:spacing w:after="60"/>
        <w:rPr>
          <w:lang w:val="pl-PL"/>
        </w:rPr>
      </w:pPr>
      <w:r>
        <w:t>wersję i hash dokumentu, datę, czas, sposób i kanał Bazaar/MCP, identyfikator Agenta oraz związanie Klienta, Delegacji, Walleta i Buyer Bindingu;</w:t>
      </w:r>
    </w:p>
    <w:p>
      <w:pPr>
        <w:keepLines/>
        <w:numPr>
          <w:ilvl w:val="0"/>
          <w:numId w:val="43"/>
        </w:numPr>
        <w:spacing w:after="60"/>
        <w:rPr>
          <w:lang w:val="pl-PL"/>
        </w:rPr>
      </w:pPr>
      <w:r>
        <w:t>wynik, czas i hash sprawdzenia rejestru podmiotu, danych podatkowych, podpisu Delegacji, jej zakresu, ważności, odwołania, limitów i kontroli klucza; podpisane oświadczenie o upoważnieniu z jawnym oznaczeniem, że nie zostało ono niezależnie potwierdzone; obowiązkową akceptację ramowej DPA z wersją i hashem oraz oddzielną deklarację dotyczącą danych osobowych w Payloadzie. Klucze prywatne nie są zapisywane przez onboarding;</w:t>
      </w:r>
    </w:p>
    <w:p>
      <w:pPr>
        <w:keepLines/>
        <w:numPr>
          <w:ilvl w:val="0"/>
          <w:numId w:val="43"/>
        </w:numPr>
        <w:spacing w:after="60"/>
      </w:pPr>
      <w:r>
        <w:rPr>
          <w:rFonts w:eastAsia="Calibri"/>
          <w:color w:val="000000"/>
        </w:rPr>
        <w:t xml:space="preserve">request ID </w:t>
      </w:r>
      <w:proofErr w:type="spellStart"/>
      <w:r>
        <w:rPr>
          <w:rFonts w:eastAsia="Calibri"/>
          <w:color w:val="000000"/>
        </w:rPr>
        <w:t>i</w:t>
      </w:r>
      <w:proofErr w:type="spellEnd"/>
      <w:r>
        <w:rPr>
          <w:rFonts w:eastAsia="Calibri"/>
          <w:color w:val="000000"/>
        </w:rPr>
        <w:t xml:space="preserve"> Operation ID;</w:t>
      </w:r>
    </w:p>
    <w:p>
      <w:pPr>
        <w:keepLines/>
        <w:numPr>
          <w:ilvl w:val="0"/>
          <w:numId w:val="43"/>
        </w:numPr>
        <w:spacing w:after="60"/>
      </w:pPr>
      <w:proofErr w:type="spellStart"/>
      <w:proofErr w:type="spellEnd"/>
      <w:proofErr w:type="spellStart"/>
      <w:proofErr w:type="spellEnd"/>
      <w:proofErr w:type="spellStart"/>
      <w:proofErr w:type="spellEnd"/>
      <w:r>
        <w:rPr>
          <w:rFonts w:eastAsia="Calibri"/>
          <w:color w:val="000000"/>
        </w:rPr>
        <w:t>endpoint POST /verify/webhook-integrity, identyfikator webhook_integrity.v1, timestamp, status i niezbędny hash Payloadu.</w:t>
      </w:r>
    </w:p>
    <w:p>
      <w:pPr>
        <w:keepLines/>
        <w:numPr>
          <w:ilvl w:val="0"/>
          <w:numId w:val="42"/>
        </w:numPr>
        <w:rPr>
          <w:lang w:val="pl-PL"/>
        </w:rPr>
      </w:pPr>
      <w:r>
        <w:rPr>
          <w:rFonts w:eastAsia="Calibri"/>
          <w:color w:val="000000"/>
          <w:lang w:val="pl-PL"/>
        </w:rPr>
        <w:t>Istotna zmiana dokumentów może wymagać ponownej akceptacji przed dalszym płatnym użyciem API.</w:t>
      </w:r>
    </w:p>
    <w:p>
      <w:pPr>
        <w:keepLines/>
        <w:numPr>
          <w:ilvl w:val="0"/>
          <w:numId w:val="42"/>
        </w:numPr>
        <w:rPr>
          <w:lang w:val="pl-PL"/>
        </w:rPr>
      </w:pPr>
      <w:r>
        <w:t>Operator informuje o zmianach przez API, discovery albo uzgodniony kanał elektroniczny.</w:t>
      </w:r>
    </w:p>
    <w:p>
      <w:pPr>
        <w:keepLines/>
        <w:numPr>
          <w:ilvl w:val="0"/>
          <w:numId w:val="42"/>
        </w:numPr>
        <w:rPr>
          <w:lang w:val="pl-PL"/>
        </w:rPr>
      </w:pPr>
      <w:r>
        <w:t>Jeżeli ponowna akceptacja albo walidacja jest wymagana, system automatycznie odrzuca Żądania do czasu zapisania aktualnych danych, dokumentów i Delegacji oraz pozytywnego przejścia wszystkich bramek, bez ręcznego obejścia.</w:t>
      </w:r>
    </w:p>
    <w:p>
      <w:pPr>
        <w:pStyle w:val="Nagwek1"/>
      </w:pPr>
      <w:r>
        <w:rPr>
          <w:rFonts w:eastAsia="Calibri"/>
          <w:lang w:val="pl-PL"/>
        </w:rPr>
        <w:t>21. Prawo właściwe i postanowienia końcowe</w:t>
      </w:r>
    </w:p>
    <w:p>
      <w:pPr>
        <w:keepLines/>
        <w:numPr>
          <w:ilvl w:val="0"/>
          <w:numId w:val="44"/>
        </w:numPr>
        <w:rPr>
          <w:lang w:val="pl-PL"/>
        </w:rPr>
      </w:pPr>
      <w:r>
        <w:rPr>
          <w:rFonts w:eastAsia="Calibri"/>
          <w:color w:val="000000"/>
          <w:lang w:val="pl-PL"/>
        </w:rPr>
        <w:t>Do Umowy stosuje się prawo polskie.</w:t>
      </w:r>
    </w:p>
    <w:p>
      <w:pPr>
        <w:keepLines/>
        <w:numPr>
          <w:ilvl w:val="0"/>
          <w:numId w:val="44"/>
        </w:numPr>
        <w:rPr>
          <w:lang w:val="pl-PL"/>
        </w:rPr>
      </w:pPr>
      <w:r>
        <w:rPr>
          <w:rFonts w:eastAsia="Calibri"/>
          <w:color w:val="000000"/>
          <w:lang w:val="pl-PL"/>
        </w:rPr>
        <w:t>Spory są rozstrzygane przez sąd właściwy dla siedziby Operatora, w zakresie dopuszczalnym w relacji B2B.</w:t>
      </w:r>
    </w:p>
    <w:p>
      <w:pPr>
        <w:keepLines/>
        <w:numPr>
          <w:ilvl w:val="0"/>
          <w:numId w:val="44"/>
        </w:numPr>
        <w:rPr>
          <w:lang w:val="pl-PL"/>
        </w:rPr>
      </w:pPr>
      <w:r>
        <w:rPr>
          <w:rFonts w:eastAsia="Calibri"/>
          <w:color w:val="000000"/>
          <w:lang w:val="pl-PL"/>
        </w:rPr>
        <w:t>Komunikacja pomiędzy stronami może odbywać się elektronicznie na adresy podane podczas rejestracji albo później zaktualizowane przez Klienta.</w:t>
      </w:r>
    </w:p>
    <w:p>
      <w:pPr>
        <w:keepLines/>
        <w:numPr>
          <w:ilvl w:val="0"/>
          <w:numId w:val="44"/>
        </w:numPr>
        <w:rPr>
          <w:lang w:val="pl-PL"/>
        </w:rPr>
      </w:pPr>
      <w:r>
        <w:rPr>
          <w:rFonts w:eastAsia="Calibri"/>
          <w:color w:val="000000"/>
          <w:lang w:val="pl-PL"/>
        </w:rPr>
        <w:t>Klient odpowiada za aktualność swoich danych kontaktowych.</w:t>
      </w:r>
    </w:p>
    <w:p>
      <w:pPr>
        <w:keepLines/>
        <w:numPr>
          <w:ilvl w:val="0"/>
          <w:numId w:val="44"/>
        </w:numPr>
        <w:rPr>
          <w:lang w:val="pl-PL"/>
        </w:rPr>
      </w:pPr>
      <w:r>
        <w:rPr>
          <w:rFonts w:eastAsia="Calibri"/>
          <w:color w:val="000000"/>
          <w:lang w:val="pl-PL"/>
        </w:rPr>
        <w:t>Jeżeli odrębne zamówienie albo SLA reguluje daną kwestię inaczej, ma ono pierwszeństwo wyłącznie w wyraźnie wskazanym zakresie.</w:t>
      </w:r>
    </w:p>
    <w:p>
      <w:pPr>
        <w:keepLines/>
        <w:numPr>
          <w:ilvl w:val="0"/>
          <w:numId w:val="44"/>
        </w:numPr>
        <w:rPr>
          <w:lang w:val="pl-PL"/>
        </w:rPr>
      </w:pPr>
      <w:r>
        <w:rPr>
          <w:rFonts w:eastAsia="Calibri"/>
          <w:color w:val="000000"/>
          <w:lang w:val="pl-PL"/>
        </w:rPr>
        <w:t>Nieważność pojedynczego postanowienia nie wpływa na ważność pozostałych postanowień.</w:t>
      </w:r>
    </w:p>
    <w:p>
      <w:pPr>
        <w:keepLines/>
        <w:numPr>
          <w:ilvl w:val="0"/>
          <w:numId w:val="44"/>
        </w:numPr>
        <w:rPr>
          <w:lang w:val="pl-PL"/>
        </w:rPr>
      </w:pPr>
      <w:r>
        <w:rPr>
          <w:lang w:val="pl-PL"/>
        </w:rPr>
        <w:t xml:space="preserve">Wersja 1.5.2 z 30 września 2026 r. jest przedstawiana Agentowi przed wymaganą akceptacją. Nie działa wstecz i nie zmienia historycznych oświadczeń. Operator zachowuje poprzednie wersje oraz dowody akceptacji. Zasady informowania o zmianach i ponownej akceptacji określa pkt 20.</w:t>
      </w:r>
    </w:p>
    <w:p>
      <w:r>
        <w:br w:type="page"/>
      </w:r>
    </w:p>
    <w:p>
      <w:pPr>
        <w:pStyle w:val="Nagwek1"/>
      </w:pPr>
      <w:r>
        <w:t>ZAŁĄCZNIK NR 1 – CENNIK I POLITYKA CENOWA</w:t>
      </w:r>
    </w:p>
    <w:p>
      <w:pPr>
        <w:pStyle w:val="Listanumerowana"/>
      </w:pPr>
      <w:r>
        <w:t>Załącznik stanowi integralną część Regulaminu. Agent akceptuje jego aktualną wersję w automatycznym onboardingu w granicach Delegacji.</w:t>
      </w:r>
    </w:p>
    <w:p>
      <w:pPr>
        <w:pStyle w:val="Listanumerowana"/>
      </w:pPr>
      <w:r>
        <w:t>W aktualnej konfiguracji dopuszczone są osoby prawne z Polski i Czech po wymaganych kontrolach. Pozostałe Pakiety Kraju UE są zachowane jako nieaktywne do odbioru źródeł. Usługa obejmuje niekrytyczne Operacje webhook_integrity.v1 w granicach Delegacji, o deklarowanej event_value_eur od 100,00 do 200,00 EUR. Cena wynosi 20,00 EUR netto za jeden Proof. Jedna bazowa Operacja prowadzi do jednego event_id, jednej Operacji i jednego Proofu. Brak base_operation_id, ponowne użycie, konflikt powiązań albo ten sam źródłowy fingerprint pod innym event_id są odrzucane przed ofertą i płatnością. Nie wolno dzielić Operacji dla obejścia limitu; system nie deklaruje semantycznego wykrywania świadomie fałszywych identyfikatorów.</w:t>
      </w:r>
    </w:p>
    <w:p>
      <w:pPr>
        <w:pStyle w:val="Listanumerowana"/>
      </w:pPr>
      <w:r>
        <w:t>Wynagrodzenie netto wynosi 20,00 EUR. Polska osoba prawna płaci 4,60 EUR VAT i 24,60 EUR brutto. Osoba prawna z UE poza Polską płaci 20,00 EUR z reverse charge wyłącznie po pozytywnym, utrwalonym VIES. Brak, wynik negatywny lub niespójny VIES oznacza odmowę bez fallbacku B2C. Nie ma abonamentu.</w:t>
      </w:r>
    </w:p>
    <w:p>
      <w:pPr>
        <w:pStyle w:val="Listanumerowana"/>
      </w:pPr>
      <w:r>
        <w:t>Cena jest denominowana w EUR, a zapłata następuje wyłącznie natywnym Circle EURC na Base eip155:8453, kontrakt 0x60a3E35Cc302bFA44Cb288Bc5a4F316Fdb1adb42, decimals=6, na przypięty pay_to. Oferta podaje dokładną ilość i atomic amount, kurs, payment ID, facilitatora i expiry. Base Sepolia nie ma wartości finansowej.</w:t>
      </w:r>
    </w:p>
    <w:p>
      <w:pPr>
        <w:pStyle w:val="Listanumerowana"/>
      </w:pPr>
      <w:r>
        <w:t>Akceptacja wersjonowanej oferty przez Agenta w granicach Delegacji i zainicjowanie wskazanej płatności x402 oznacza zamówienie konkretnej Operacji. Płatność jest przyjęta dopiero po settlement success zgodnym z payerem, siecią, kontraktem, kwotą atomic, pay_to, payment ID, facilitatora i transakcją.</w:t>
      </w:r>
    </w:p>
    <w:p>
      <w:pPr>
        <w:pStyle w:val="Listanumerowana"/>
      </w:pPr>
      <w:r>
        <w:t>Pierwszy realny pilot obejmuje jedną automatycznie zamówioną Operację i po przyjętym settlementcie przechodzi w FREEZE, czyli blokadę kolejnych płatności. Po uzgodnieniu wyniku tej Operacji Operator może ponownie uruchomić sprzedaż; nie zatwierdza ręcznie poszczególnych Operacji. Każdy zakup musi mieścić się w ważnej Delegacji. Jedna płatność odpowiada jednej Operacji, bez automatycznego ponowienia wyniku nieznanego.</w:t>
      </w:r>
    </w:p>
    <w:p>
      <w:pPr>
        <w:pStyle w:val="Listanumerowana"/>
      </w:pPr>
      <w:r>
        <w:t>Do ceny netto dolicza się właściwy VAT. Polityka EURC_PL_2026_V1 jest polityką rozliczeniową Operatora i nie jest uzależniona od uzyskania indywidualnej interpretacji KIS. Operator nie prowadzi custody, salda, automatycznego sweepu, wymiany ani payoutu. Oferta wskazuje konkretnego facilitatora, pay_to oraz wersje i hashe dokumentów.</w:t>
      </w:r>
    </w:p>
    <w:p>
      <w:pPr>
        <w:pStyle w:val="Nagwek1"/>
        <w:keepNext/>
        <w:keepLines/>
        <w:widowControl/>
        <w:pageBreakBefore/>
      </w:pPr>
      <w:r>
        <w:rPr>
          <w:color w:val="000000"/>
          <w:b/>
        </w:rPr>
        <w:t>ZAŁĄCZNIK NR 2 WARUNKI OBSŁUGI USŁUGI</w:t>
      </w:r>
    </w:p>
    <w:p>
      <w:pPr>
        <w:spacing w:after="120"/>
        <w:widowControl/>
      </w:pPr>
      <w:r>
        <w:rPr>
          <w:color w:val="000000"/>
        </w:rPr>
        <w:t xml:space="preserve">Załącznik określa obsługę faktur, reklamacji, danych i ciągłości działania. Polska i Czechy są obsługiwanymi rynkami; kraj pierwszej sprzedaży wynika z pierwszego kwalifikującego się Klienta i zweryfikowanego Pakietu Kraju. Ograniczenia pilotażu określono w Regulaminie i Załączniku nr 1.</w:t>
      </w:r>
    </w:p>
    <w:p>
      <w:pPr>
        <w:pStyle w:val="Nagwek1"/>
        <w:keepNext/>
        <w:keepLines/>
        <w:widowControl/>
      </w:pPr>
      <w:r>
        <w:rPr>
          <w:color w:val="000000"/>
          <w:b/>
        </w:rPr>
        <w:t>Faktury i rozliczenie</w:t>
      </w:r>
    </w:p>
    <w:p>
      <w:pPr>
        <w:spacing w:after="120"/>
        <w:widowControl/>
      </w:pPr>
      <w:r>
        <w:rPr>
          <w:color w:val="000000"/>
        </w:rPr>
        <w:t>Faktury są obsługiwane przez uwierzytelniony dostęp Operatora do KSeF, z kontrolą uprawnienia do ich wystawiania. Obsługa obejmuje kolejkę, wysyłkę, odbiór numeru KSeF i UPO oraz odzyskiwanie po błędzie. Samo uwierzytelnienie nie potwierdza przyjęcia konkretnej faktury; jej wynik jest ustalany oddzielnie. Przyjęta przez Operatora procedura rozliczenia wymaga właściwego wyniku KSeF zarówno dla Klientów z Polski, jak i Czech. TaxCoach sp. z o.o. obsługuje księgowość według umowy A_2189 z 4 sierpnia 2026 r. Do 5. dnia następnego miesiąca Operator przekazuje komplet do folderu miesiąca w Google Drive TaxCoach, w tym CSV sprzedaży o 18 kolumnach i zakupy spoza KSeF. Po wgraniu wysyła e-mail, a odbiór potwierdza odpowiedź księgowości. TaxCoach sam pobiera faktury z KSeF. Brak operacji oznacza krótki e-mail bez pustego pakietu.</w:t>
      </w:r>
    </w:p>
    <w:p>
      <w:pPr>
        <w:pStyle w:val="Nagwek1"/>
        <w:keepNext/>
        <w:keepLines/>
        <w:widowControl/>
      </w:pPr>
      <w:r>
        <w:rPr>
          <w:color w:val="000000"/>
          <w:b/>
        </w:rPr>
        <w:t>Reklamacje i zwroty</w:t>
      </w:r>
    </w:p>
    <w:p>
      <w:pPr>
        <w:spacing w:after="120"/>
        <w:widowControl/>
      </w:pPr>
      <w:r>
        <w:rPr>
          <w:color w:val="000000"/>
        </w:rPr>
        <w:t>Obsługa operacyjna trwale zapisuje w PostgreSQL zapłatę bez Proofu, faktury lub dowodu doręczenia oraz sprawy zwrotów, także przed powstaniem faktury. Potwierdzenie zapłaty wiąże się z pierwotną transakcją, płatnikiem i odbiorcą. Zwrot wymaga odrębnej zgody finansowej, właściwego uzgodnienia i ewentualnej korekty faktury. Kod sprawdza pierwotnego płatnika, kwotę i powtórzenia; zapis sprawy ani referencji zgody nie wykonuje przelewu. Nie ponawia się automatycznie niejednoznacznego wyniku.</w:t>
      </w:r>
    </w:p>
    <w:p>
      <w:pPr>
        <w:pStyle w:val="Nagwek1"/>
        <w:keepNext/>
        <w:keepLines/>
        <w:widowControl/>
      </w:pPr>
      <w:r>
        <w:rPr>
          <w:color w:val="000000"/>
          <w:b/>
        </w:rPr>
        <w:t>Dane, ciągłość działania i incydenty</w:t>
      </w:r>
    </w:p>
    <w:p>
      <w:pPr>
        <w:spacing w:after="120"/>
        <w:widowControl/>
      </w:pPr>
      <w:r>
        <w:rPr>
          <w:color w:val="000000"/>
        </w:rPr>
        <w:t xml:space="preserve">Obsługa Usługi obejmuje zapis spraw, monitoring, kanał alertów oraz kopie zapasowe i odtwarzanie. Trwały zapis dopuszczenia Operacji zawiera hashe i wymagane identyfikatory zamiast pełnego Payloadu. Aplikacja kontroluje bieżącą DPA i Delegację przed odczytem Payloadu, w granicach określonych w Polityce Prywatności i DPA, oraz rozdziela retencję techniczną od księgowej. Odtworzenie starej kopii wymaga ponownego zastosowania rejestru usunięć przed zwykłym przetwarzaniem. Usunięcie rekordu nie oznacza fizycznego wymazania nośnika. Alert wewnętrzny nie zastępuje zawiadomienia Klienta lub organu.</w:t>
      </w:r>
    </w:p>
    <w:p>
      <w:pPr>
        <w:pStyle w:val="Nagwek1"/>
        <w:keepNext/>
        <w:keepLines/>
        <w:widowControl/>
      </w:pPr>
      <w:r>
        <w:rPr>
          <w:color w:val="000000"/>
          <w:b/>
        </w:rPr>
        <w:t>Dostawcy i dostęp do danych</w:t>
      </w:r>
    </w:p>
    <w:p>
      <w:pPr>
        <w:spacing w:after="120"/>
        <w:widowControl/>
      </w:pPr>
      <w:r>
        <w:rPr>
          <w:color w:val="000000"/>
        </w:rPr>
        <w:t xml:space="preserve">Operator korzysta ze standardowych warunków Cloudflare, CDP i Proton oraz umowy TaxCoach. Zakresy danych, role i mechanizmy transferów opisują Polityka Prywatności i DPA. Nie uzgodniono indywidualnej lokalizacji ani retencji dostawców i nie deklaruje się przetwarzania wyłącznie w UE. Dashboard Operatora jest zawsze prywatny, tylko do odczytu i nie jest udostępniany Klientom.</w:t>
      </w:r>
    </w:p>
    <w:sectPr>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652" w:footer="65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tbl>
    <w:tblPr>
      <w:tblW w:w="9412" w:type="dxa"/>
      <w:tblInd w:w="120" w:type="dxa"/>
      <w:tblLayout w:type="fixed"/>
      <w:tblLook w:val="04A0"/>
    </w:tblPr>
    <w:tblGrid>
      <w:gridCol w:w="6776"/>
      <w:gridCol w:w="2636"/>
    </w:tblGrid>
    <w:tr>
      <w:tc>
        <w:tcPr>
          <w:tcW w:w="6776" w:type="dxa"/>
          <w:tcMar>
            <w:top w:w="0" w:type="dxa"/>
            <w:left w:w="0" w:type="dxa"/>
            <w:bottom w:w="0" w:type="dxa"/>
            <w:right w:w="0" w:type="dxa"/>
          </w:tcMar>
          <w:vAlign w:val="center"/>
        </w:tcPr>
        <w:p>
          <w:pPr>
            <w:spacing w:after="0"/>
          </w:pPr>
          <w:r>
            <w:rPr>
              <w:rFonts w:eastAsia="Calibri"/>
              <w:b/>
              <w:color w:val="000000"/>
              <w:sz w:val="17"/>
              <w:lang w:val="pl-PL"/>
            </w:rPr>
            <w:t>IntegrityPhase  |  wersja 1.5.2</w:t>
          </w:r>
        </w:p>
      </w:tc>
      <w:tc>
        <w:tcPr>
          <w:tcW w:w="2636" w:type="dxa"/>
          <w:tcMar>
            <w:top w:w="0" w:type="dxa"/>
            <w:left w:w="0" w:type="dxa"/>
            <w:bottom w:w="0" w:type="dxa"/>
            <w:right w:w="0" w:type="dxa"/>
          </w:tcMar>
          <w:vAlign w:val="center"/>
        </w:tcPr>
        <w:p>
          <w:pPr>
            <w:spacing w:after="0"/>
            <w:jc w:val="right"/>
          </w:pPr>
          <w:r>
            <w:rPr>
              <w:rFonts w:eastAsia="Calibri"/>
              <w:color w:val="000000"/>
              <w:sz w:val="17"/>
              <w:lang w:val="pl-PL"/>
            </w:rPr>
            <w:t xml:space="preserve">Strona </w:t>
          </w:r>
          <w:fldSimple w:instr="PAGE">
            <w:r>
              <w:rPr>
                <w:noProof/>
              </w:rPr>
              <w:t>2</w:t>
            </w:r>
          </w:fldSimple>
        </w:p>
      </w:tc>
    </w:tr>
  </w:tbl>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rPr>
        <w:lang w:val="pl-PL"/>
      </w:rPr>
    </w:pPr>
    <w:r>
      <w:rPr>
        <w:rFonts w:eastAsia="Calibri"/>
        <w:b/>
        <w:color w:val="000000"/>
        <w:sz w:val="17"/>
        <w:lang w:val="pl-PL"/>
      </w:rPr>
      <w:t>IntegrityPhase  |  Regulamin B2B/API  |  wersja 1.5.2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nsid w:val="073B1E47"/>
    <w:multiLevelType w:val="singleLevel"/>
    <w:tmpl w:val="0415000F"/>
    <w:lvl w:ilvl="0">
      <w:start w:val="1"/>
      <w:numFmt w:val="decimal"/>
      <w:lvlText w:val="%1."/>
      <w:lvlJc w:val="left"/>
      <w:pPr>
        <w:tabs>
          <w:tab w:val="num" w:pos="720"/>
        </w:tabs>
        <w:ind w:left="720" w:hanging="360"/>
      </w:pPr>
    </w:lvl>
  </w:abstractNum>
  <w:abstractNum w:abstractNumId="10">
    <w:nsid w:val="074335A1"/>
    <w:multiLevelType w:val="singleLevel"/>
    <w:tmpl w:val="0415000F"/>
    <w:lvl w:ilvl="0">
      <w:start w:val="1"/>
      <w:numFmt w:val="decimal"/>
      <w:lvlText w:val="%1."/>
      <w:lvlJc w:val="left"/>
      <w:pPr>
        <w:tabs>
          <w:tab w:val="num" w:pos="720"/>
        </w:tabs>
        <w:ind w:left="720" w:hanging="360"/>
      </w:pPr>
    </w:lvl>
  </w:abstractNum>
  <w:abstractNum w:abstractNumId="11">
    <w:nsid w:val="08892110"/>
    <w:multiLevelType w:val="singleLevel"/>
    <w:tmpl w:val="0415000F"/>
    <w:lvl w:ilvl="0">
      <w:start w:val="1"/>
      <w:numFmt w:val="decimal"/>
      <w:lvlText w:val="%1."/>
      <w:lvlJc w:val="left"/>
      <w:pPr>
        <w:tabs>
          <w:tab w:val="num" w:pos="720"/>
        </w:tabs>
        <w:ind w:left="720" w:hanging="360"/>
      </w:pPr>
    </w:lvl>
  </w:abstractNum>
  <w:abstractNum w:abstractNumId="12">
    <w:nsid w:val="0B6B33E2"/>
    <w:multiLevelType w:val="singleLevel"/>
    <w:tmpl w:val="420E64F6"/>
    <w:lvl w:ilvl="0">
      <w:start w:val="1"/>
      <w:numFmt w:val="bullet"/>
      <w:lvlText w:val="•"/>
      <w:lvlJc w:val="left"/>
      <w:pPr>
        <w:tabs>
          <w:tab w:val="num" w:pos="720"/>
        </w:tabs>
        <w:ind w:left="720" w:hanging="360"/>
      </w:pPr>
    </w:lvl>
  </w:abstractNum>
  <w:abstractNum w:abstractNumId="13">
    <w:nsid w:val="0C8173FE"/>
    <w:multiLevelType w:val="singleLevel"/>
    <w:tmpl w:val="0415000F"/>
    <w:lvl w:ilvl="0">
      <w:start w:val="1"/>
      <w:numFmt w:val="decimal"/>
      <w:lvlText w:val="%1."/>
      <w:lvlJc w:val="left"/>
      <w:pPr>
        <w:tabs>
          <w:tab w:val="num" w:pos="720"/>
        </w:tabs>
        <w:ind w:left="720" w:hanging="360"/>
      </w:pPr>
    </w:lvl>
  </w:abstractNum>
  <w:abstractNum w:abstractNumId="14">
    <w:nsid w:val="10B82492"/>
    <w:multiLevelType w:val="singleLevel"/>
    <w:tmpl w:val="0415000F"/>
    <w:lvl w:ilvl="0">
      <w:start w:val="1"/>
      <w:numFmt w:val="decimal"/>
      <w:lvlText w:val="%1."/>
      <w:lvlJc w:val="left"/>
      <w:pPr>
        <w:tabs>
          <w:tab w:val="num" w:pos="720"/>
        </w:tabs>
        <w:ind w:left="720" w:hanging="360"/>
      </w:pPr>
    </w:lvl>
  </w:abstractNum>
  <w:abstractNum w:abstractNumId="15">
    <w:nsid w:val="10FF2ADF"/>
    <w:multiLevelType w:val="singleLevel"/>
    <w:tmpl w:val="DD20AFA8"/>
    <w:lvl w:ilvl="0">
      <w:start w:val="1"/>
      <w:numFmt w:val="bullet"/>
      <w:lvlText w:val="•"/>
      <w:lvlJc w:val="left"/>
      <w:pPr>
        <w:tabs>
          <w:tab w:val="num" w:pos="720"/>
        </w:tabs>
        <w:ind w:left="720" w:hanging="360"/>
      </w:pPr>
    </w:lvl>
  </w:abstractNum>
  <w:abstractNum w:abstractNumId="16">
    <w:nsid w:val="20B319C1"/>
    <w:multiLevelType w:val="singleLevel"/>
    <w:tmpl w:val="6770CDC0"/>
    <w:lvl w:ilvl="0">
      <w:start w:val="1"/>
      <w:numFmt w:val="bullet"/>
      <w:lvlText w:val="•"/>
      <w:lvlJc w:val="left"/>
      <w:pPr>
        <w:tabs>
          <w:tab w:val="num" w:pos="720"/>
        </w:tabs>
        <w:ind w:left="720" w:hanging="360"/>
      </w:pPr>
    </w:lvl>
  </w:abstractNum>
  <w:abstractNum w:abstractNumId="17">
    <w:nsid w:val="22DB606D"/>
    <w:multiLevelType w:val="singleLevel"/>
    <w:tmpl w:val="0415000F"/>
    <w:lvl w:ilvl="0">
      <w:start w:val="1"/>
      <w:numFmt w:val="decimal"/>
      <w:lvlText w:val="%1."/>
      <w:lvlJc w:val="left"/>
      <w:pPr>
        <w:tabs>
          <w:tab w:val="num" w:pos="720"/>
        </w:tabs>
        <w:ind w:left="720" w:hanging="360"/>
      </w:pPr>
    </w:lvl>
  </w:abstractNum>
  <w:abstractNum w:abstractNumId="18">
    <w:nsid w:val="243953C0"/>
    <w:multiLevelType w:val="singleLevel"/>
    <w:tmpl w:val="5632524E"/>
    <w:lvl w:ilvl="0">
      <w:start w:val="1"/>
      <w:numFmt w:val="bullet"/>
      <w:lvlText w:val="•"/>
      <w:lvlJc w:val="left"/>
      <w:pPr>
        <w:tabs>
          <w:tab w:val="num" w:pos="720"/>
        </w:tabs>
        <w:ind w:left="720" w:hanging="360"/>
      </w:pPr>
    </w:lvl>
  </w:abstractNum>
  <w:abstractNum w:abstractNumId="19">
    <w:nsid w:val="27146209"/>
    <w:multiLevelType w:val="singleLevel"/>
    <w:tmpl w:val="631479E6"/>
    <w:lvl w:ilvl="0">
      <w:start w:val="1"/>
      <w:numFmt w:val="bullet"/>
      <w:lvlText w:val="•"/>
      <w:lvlJc w:val="left"/>
      <w:pPr>
        <w:tabs>
          <w:tab w:val="num" w:pos="720"/>
        </w:tabs>
        <w:ind w:left="720" w:hanging="360"/>
      </w:pPr>
    </w:lvl>
  </w:abstractNum>
  <w:abstractNum w:abstractNumId="20">
    <w:nsid w:val="284B71FB"/>
    <w:multiLevelType w:val="singleLevel"/>
    <w:tmpl w:val="0415000F"/>
    <w:lvl w:ilvl="0">
      <w:start w:val="1"/>
      <w:numFmt w:val="decimal"/>
      <w:lvlText w:val="%1."/>
      <w:lvlJc w:val="left"/>
      <w:pPr>
        <w:tabs>
          <w:tab w:val="num" w:pos="720"/>
        </w:tabs>
        <w:ind w:left="720" w:hanging="360"/>
      </w:pPr>
    </w:lvl>
  </w:abstractNum>
  <w:abstractNum w:abstractNumId="21">
    <w:nsid w:val="2F0E795B"/>
    <w:multiLevelType w:val="singleLevel"/>
    <w:tmpl w:val="0415000F"/>
    <w:lvl w:ilvl="0">
      <w:start w:val="1"/>
      <w:numFmt w:val="decimal"/>
      <w:lvlText w:val="%1."/>
      <w:lvlJc w:val="left"/>
      <w:pPr>
        <w:tabs>
          <w:tab w:val="num" w:pos="720"/>
        </w:tabs>
        <w:ind w:left="720" w:hanging="360"/>
      </w:pPr>
    </w:lvl>
  </w:abstractNum>
  <w:abstractNum w:abstractNumId="22">
    <w:nsid w:val="30B66F21"/>
    <w:multiLevelType w:val="singleLevel"/>
    <w:tmpl w:val="276CAF52"/>
    <w:lvl w:ilvl="0">
      <w:start w:val="1"/>
      <w:numFmt w:val="bullet"/>
      <w:lvlText w:val="•"/>
      <w:lvlJc w:val="left"/>
      <w:pPr>
        <w:tabs>
          <w:tab w:val="num" w:pos="720"/>
        </w:tabs>
        <w:ind w:left="720" w:hanging="360"/>
      </w:pPr>
    </w:lvl>
  </w:abstractNum>
  <w:abstractNum w:abstractNumId="23">
    <w:nsid w:val="32B620BD"/>
    <w:multiLevelType w:val="singleLevel"/>
    <w:tmpl w:val="7902A2E4"/>
    <w:lvl w:ilvl="0">
      <w:start w:val="1"/>
      <w:numFmt w:val="bullet"/>
      <w:lvlText w:val="•"/>
      <w:lvlJc w:val="left"/>
      <w:pPr>
        <w:tabs>
          <w:tab w:val="num" w:pos="720"/>
        </w:tabs>
        <w:ind w:left="720" w:hanging="360"/>
      </w:pPr>
    </w:lvl>
  </w:abstractNum>
  <w:abstractNum w:abstractNumId="24">
    <w:nsid w:val="339349D0"/>
    <w:multiLevelType w:val="singleLevel"/>
    <w:tmpl w:val="D44A91BA"/>
    <w:lvl w:ilvl="0">
      <w:start w:val="1"/>
      <w:numFmt w:val="bullet"/>
      <w:lvlText w:val="•"/>
      <w:lvlJc w:val="left"/>
      <w:pPr>
        <w:tabs>
          <w:tab w:val="num" w:pos="720"/>
        </w:tabs>
        <w:ind w:left="720" w:hanging="360"/>
      </w:pPr>
    </w:lvl>
  </w:abstractNum>
  <w:abstractNum w:abstractNumId="25">
    <w:nsid w:val="3A9C4534"/>
    <w:multiLevelType w:val="singleLevel"/>
    <w:tmpl w:val="0415000F"/>
    <w:lvl w:ilvl="0">
      <w:start w:val="1"/>
      <w:numFmt w:val="decimal"/>
      <w:lvlText w:val="%1."/>
      <w:lvlJc w:val="left"/>
      <w:pPr>
        <w:tabs>
          <w:tab w:val="num" w:pos="720"/>
        </w:tabs>
        <w:ind w:left="720" w:hanging="360"/>
      </w:pPr>
    </w:lvl>
  </w:abstractNum>
  <w:abstractNum w:abstractNumId="26">
    <w:nsid w:val="3F154665"/>
    <w:multiLevelType w:val="singleLevel"/>
    <w:tmpl w:val="B38EF778"/>
    <w:lvl w:ilvl="0">
      <w:start w:val="1"/>
      <w:numFmt w:val="bullet"/>
      <w:lvlText w:val="•"/>
      <w:lvlJc w:val="left"/>
      <w:pPr>
        <w:tabs>
          <w:tab w:val="num" w:pos="720"/>
        </w:tabs>
        <w:ind w:left="720" w:hanging="360"/>
      </w:pPr>
    </w:lvl>
  </w:abstractNum>
  <w:abstractNum w:abstractNumId="27">
    <w:nsid w:val="42F57528"/>
    <w:multiLevelType w:val="singleLevel"/>
    <w:tmpl w:val="A392B448"/>
    <w:lvl w:ilvl="0">
      <w:start w:val="1"/>
      <w:numFmt w:val="bullet"/>
      <w:lvlText w:val="•"/>
      <w:lvlJc w:val="left"/>
      <w:pPr>
        <w:tabs>
          <w:tab w:val="num" w:pos="720"/>
        </w:tabs>
        <w:ind w:left="720" w:hanging="360"/>
      </w:pPr>
    </w:lvl>
  </w:abstractNum>
  <w:abstractNum w:abstractNumId="28">
    <w:nsid w:val="47E550ED"/>
    <w:multiLevelType w:val="singleLevel"/>
    <w:tmpl w:val="0415000F"/>
    <w:lvl w:ilvl="0">
      <w:start w:val="1"/>
      <w:numFmt w:val="decimal"/>
      <w:lvlText w:val="%1."/>
      <w:lvlJc w:val="left"/>
      <w:pPr>
        <w:tabs>
          <w:tab w:val="num" w:pos="720"/>
        </w:tabs>
        <w:ind w:left="720" w:hanging="360"/>
      </w:pPr>
    </w:lvl>
  </w:abstractNum>
  <w:abstractNum w:abstractNumId="29">
    <w:nsid w:val="49D23403"/>
    <w:multiLevelType w:val="singleLevel"/>
    <w:tmpl w:val="0415000F"/>
    <w:lvl w:ilvl="0">
      <w:start w:val="1"/>
      <w:numFmt w:val="decimal"/>
      <w:lvlText w:val="%1."/>
      <w:lvlJc w:val="left"/>
      <w:pPr>
        <w:tabs>
          <w:tab w:val="num" w:pos="720"/>
        </w:tabs>
        <w:ind w:left="720" w:hanging="360"/>
      </w:pPr>
    </w:lvl>
  </w:abstractNum>
  <w:abstractNum w:abstractNumId="30">
    <w:nsid w:val="505633DB"/>
    <w:multiLevelType w:val="singleLevel"/>
    <w:tmpl w:val="0415000F"/>
    <w:lvl w:ilvl="0">
      <w:start w:val="1"/>
      <w:numFmt w:val="decimal"/>
      <w:lvlText w:val="%1."/>
      <w:lvlJc w:val="left"/>
      <w:pPr>
        <w:tabs>
          <w:tab w:val="num" w:pos="720"/>
        </w:tabs>
        <w:ind w:left="720" w:hanging="360"/>
      </w:pPr>
    </w:lvl>
  </w:abstractNum>
  <w:abstractNum w:abstractNumId="31">
    <w:nsid w:val="540D47C2"/>
    <w:multiLevelType w:val="singleLevel"/>
    <w:tmpl w:val="2E54D752"/>
    <w:lvl w:ilvl="0">
      <w:start w:val="1"/>
      <w:numFmt w:val="bullet"/>
      <w:lvlText w:val="•"/>
      <w:lvlJc w:val="left"/>
      <w:pPr>
        <w:tabs>
          <w:tab w:val="num" w:pos="720"/>
        </w:tabs>
        <w:ind w:left="720" w:hanging="360"/>
      </w:pPr>
    </w:lvl>
  </w:abstractNum>
  <w:abstractNum w:abstractNumId="32">
    <w:nsid w:val="55112796"/>
    <w:multiLevelType w:val="singleLevel"/>
    <w:tmpl w:val="BA92EE82"/>
    <w:lvl w:ilvl="0">
      <w:start w:val="1"/>
      <w:numFmt w:val="bullet"/>
      <w:lvlText w:val="•"/>
      <w:lvlJc w:val="left"/>
      <w:pPr>
        <w:tabs>
          <w:tab w:val="num" w:pos="720"/>
        </w:tabs>
        <w:ind w:left="720" w:hanging="360"/>
      </w:pPr>
    </w:lvl>
  </w:abstractNum>
  <w:abstractNum w:abstractNumId="33">
    <w:nsid w:val="57262524"/>
    <w:multiLevelType w:val="singleLevel"/>
    <w:tmpl w:val="0415000F"/>
    <w:lvl w:ilvl="0">
      <w:start w:val="1"/>
      <w:numFmt w:val="decimal"/>
      <w:lvlText w:val="%1."/>
      <w:lvlJc w:val="left"/>
      <w:pPr>
        <w:tabs>
          <w:tab w:val="num" w:pos="720"/>
        </w:tabs>
        <w:ind w:left="720" w:hanging="360"/>
      </w:pPr>
    </w:lvl>
  </w:abstractNum>
  <w:abstractNum w:abstractNumId="34">
    <w:nsid w:val="5C771BD9"/>
    <w:multiLevelType w:val="singleLevel"/>
    <w:tmpl w:val="0415000F"/>
    <w:lvl w:ilvl="0">
      <w:start w:val="1"/>
      <w:numFmt w:val="decimal"/>
      <w:lvlText w:val="%1."/>
      <w:lvlJc w:val="left"/>
      <w:pPr>
        <w:tabs>
          <w:tab w:val="num" w:pos="720"/>
        </w:tabs>
        <w:ind w:left="720" w:hanging="360"/>
      </w:pPr>
    </w:lvl>
  </w:abstractNum>
  <w:abstractNum w:abstractNumId="35">
    <w:nsid w:val="60333FE0"/>
    <w:multiLevelType w:val="singleLevel"/>
    <w:tmpl w:val="0415000F"/>
    <w:lvl w:ilvl="0">
      <w:start w:val="1"/>
      <w:numFmt w:val="decimal"/>
      <w:lvlText w:val="%1."/>
      <w:lvlJc w:val="left"/>
      <w:pPr>
        <w:tabs>
          <w:tab w:val="num" w:pos="720"/>
        </w:tabs>
        <w:ind w:left="720" w:hanging="360"/>
      </w:pPr>
    </w:lvl>
  </w:abstractNum>
  <w:abstractNum w:abstractNumId="36">
    <w:nsid w:val="616F342A"/>
    <w:multiLevelType w:val="singleLevel"/>
    <w:tmpl w:val="0415000F"/>
    <w:lvl w:ilvl="0">
      <w:start w:val="1"/>
      <w:numFmt w:val="decimal"/>
      <w:lvlText w:val="%1."/>
      <w:lvlJc w:val="left"/>
      <w:pPr>
        <w:tabs>
          <w:tab w:val="num" w:pos="720"/>
        </w:tabs>
        <w:ind w:left="720" w:hanging="360"/>
      </w:pPr>
    </w:lvl>
  </w:abstractNum>
  <w:abstractNum w:abstractNumId="37">
    <w:nsid w:val="66F21896"/>
    <w:multiLevelType w:val="singleLevel"/>
    <w:tmpl w:val="0415000F"/>
    <w:lvl w:ilvl="0">
      <w:start w:val="1"/>
      <w:numFmt w:val="decimal"/>
      <w:lvlText w:val="%1."/>
      <w:lvlJc w:val="left"/>
      <w:pPr>
        <w:tabs>
          <w:tab w:val="num" w:pos="720"/>
        </w:tabs>
        <w:ind w:left="720" w:hanging="360"/>
      </w:pPr>
    </w:lvl>
  </w:abstractNum>
  <w:abstractNum w:abstractNumId="38">
    <w:nsid w:val="69B51471"/>
    <w:multiLevelType w:val="singleLevel"/>
    <w:tmpl w:val="EDEABF10"/>
    <w:lvl w:ilvl="0">
      <w:start w:val="1"/>
      <w:numFmt w:val="bullet"/>
      <w:lvlText w:val="•"/>
      <w:lvlJc w:val="left"/>
      <w:pPr>
        <w:tabs>
          <w:tab w:val="num" w:pos="720"/>
        </w:tabs>
        <w:ind w:left="720" w:hanging="360"/>
      </w:pPr>
    </w:lvl>
  </w:abstractNum>
  <w:abstractNum w:abstractNumId="39">
    <w:nsid w:val="6B3D4D30"/>
    <w:multiLevelType w:val="singleLevel"/>
    <w:tmpl w:val="0415000F"/>
    <w:lvl w:ilvl="0">
      <w:start w:val="1"/>
      <w:numFmt w:val="decimal"/>
      <w:lvlText w:val="%1."/>
      <w:lvlJc w:val="left"/>
      <w:pPr>
        <w:tabs>
          <w:tab w:val="num" w:pos="720"/>
        </w:tabs>
        <w:ind w:left="720" w:hanging="360"/>
      </w:pPr>
    </w:lvl>
  </w:abstractNum>
  <w:abstractNum w:abstractNumId="40">
    <w:nsid w:val="73276D61"/>
    <w:multiLevelType w:val="singleLevel"/>
    <w:tmpl w:val="0692603E"/>
    <w:lvl w:ilvl="0">
      <w:start w:val="1"/>
      <w:numFmt w:val="bullet"/>
      <w:lvlText w:val="•"/>
      <w:lvlJc w:val="left"/>
      <w:pPr>
        <w:tabs>
          <w:tab w:val="num" w:pos="720"/>
        </w:tabs>
        <w:ind w:left="720" w:hanging="360"/>
      </w:pPr>
    </w:lvl>
  </w:abstractNum>
  <w:abstractNum w:abstractNumId="41">
    <w:nsid w:val="79EF1611"/>
    <w:multiLevelType w:val="singleLevel"/>
    <w:tmpl w:val="0415000F"/>
    <w:lvl w:ilvl="0">
      <w:start w:val="1"/>
      <w:numFmt w:val="decimal"/>
      <w:lvlText w:val="%1."/>
      <w:lvlJc w:val="left"/>
      <w:pPr>
        <w:tabs>
          <w:tab w:val="num" w:pos="720"/>
        </w:tabs>
        <w:ind w:left="720" w:hanging="360"/>
      </w:pPr>
    </w:lvl>
  </w:abstractNum>
  <w:abstractNum w:abstractNumId="42">
    <w:nsid w:val="7DC12DF0"/>
    <w:multiLevelType w:val="singleLevel"/>
    <w:tmpl w:val="0415000F"/>
    <w:lvl w:ilvl="0">
      <w:start w:val="1"/>
      <w:numFmt w:val="decimal"/>
      <w:lvlText w:val="%1."/>
      <w:lvlJc w:val="left"/>
      <w:pPr>
        <w:tabs>
          <w:tab w:val="num" w:pos="720"/>
        </w:tabs>
        <w:ind w:left="720" w:hanging="360"/>
      </w:pPr>
    </w:lvl>
  </w:abstractNum>
  <w:abstractNum w:abstractNumId="43">
    <w:nsid w:val="7F012B0F"/>
    <w:multiLevelType w:val="singleLevel"/>
    <w:tmpl w:val="0415000F"/>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5"/>
  </w:num>
  <w:num w:numId="11">
    <w:abstractNumId w:val="10"/>
  </w:num>
  <w:num w:numId="12">
    <w:abstractNumId w:val="33"/>
  </w:num>
  <w:num w:numId="13">
    <w:abstractNumId w:val="22"/>
  </w:num>
  <w:num w:numId="14">
    <w:abstractNumId w:val="17"/>
  </w:num>
  <w:num w:numId="15">
    <w:abstractNumId w:val="23"/>
  </w:num>
  <w:num w:numId="16">
    <w:abstractNumId w:val="30"/>
  </w:num>
  <w:num w:numId="17">
    <w:abstractNumId w:val="16"/>
  </w:num>
  <w:num w:numId="18">
    <w:abstractNumId w:val="43"/>
  </w:num>
  <w:num w:numId="19">
    <w:abstractNumId w:val="26"/>
  </w:num>
  <w:num w:numId="20">
    <w:abstractNumId w:val="20"/>
  </w:num>
  <w:num w:numId="21">
    <w:abstractNumId w:val="42"/>
  </w:num>
  <w:num w:numId="22">
    <w:abstractNumId w:val="41"/>
  </w:num>
  <w:num w:numId="23">
    <w:abstractNumId w:val="32"/>
  </w:num>
  <w:num w:numId="24">
    <w:abstractNumId w:val="18"/>
  </w:num>
  <w:num w:numId="25">
    <w:abstractNumId w:val="39"/>
  </w:num>
  <w:num w:numId="26">
    <w:abstractNumId w:val="24"/>
  </w:num>
  <w:num w:numId="27">
    <w:abstractNumId w:val="14"/>
  </w:num>
  <w:num w:numId="28">
    <w:abstractNumId w:val="19"/>
  </w:num>
  <w:num w:numId="29">
    <w:abstractNumId w:val="21"/>
  </w:num>
  <w:num w:numId="30">
    <w:abstractNumId w:val="25"/>
  </w:num>
  <w:num w:numId="31">
    <w:abstractNumId w:val="31"/>
  </w:num>
  <w:num w:numId="32">
    <w:abstractNumId w:val="34"/>
  </w:num>
  <w:num w:numId="33">
    <w:abstractNumId w:val="27"/>
  </w:num>
  <w:num w:numId="34">
    <w:abstractNumId w:val="29"/>
  </w:num>
  <w:num w:numId="35">
    <w:abstractNumId w:val="12"/>
  </w:num>
  <w:num w:numId="36">
    <w:abstractNumId w:val="37"/>
  </w:num>
  <w:num w:numId="37">
    <w:abstractNumId w:val="15"/>
  </w:num>
  <w:num w:numId="38">
    <w:abstractNumId w:val="11"/>
  </w:num>
  <w:num w:numId="39">
    <w:abstractNumId w:val="38"/>
  </w:num>
  <w:num w:numId="40">
    <w:abstractNumId w:val="9"/>
  </w:num>
  <w:num w:numId="41">
    <w:abstractNumId w:val="36"/>
  </w:num>
  <w:num w:numId="42">
    <w:abstractNumId w:val="28"/>
  </w:num>
  <w:num w:numId="43">
    <w:abstractNumId w:val="40"/>
  </w:num>
  <w:num w:numId="4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0F178F"/>
    <w:rsid w:val="0015074B"/>
    <w:rsid w:val="00197F47"/>
    <w:rsid w:val="001D15D0"/>
    <w:rsid w:val="002133D4"/>
    <w:rsid w:val="0029639D"/>
    <w:rsid w:val="002A6BE4"/>
    <w:rsid w:val="00326F90"/>
    <w:rsid w:val="0035600C"/>
    <w:rsid w:val="004074D9"/>
    <w:rsid w:val="004E308F"/>
    <w:rsid w:val="0068015C"/>
    <w:rsid w:val="00921A0A"/>
    <w:rsid w:val="00A14242"/>
    <w:rsid w:val="00A33699"/>
    <w:rsid w:val="00AA1D8D"/>
    <w:rsid w:val="00AE2F31"/>
    <w:rsid w:val="00AF40E6"/>
    <w:rsid w:val="00B23C34"/>
    <w:rsid w:val="00B47730"/>
    <w:rsid w:val="00C17152"/>
    <w:rsid w:val="00CB0664"/>
    <w:rsid w:val="00DE1350"/>
    <w:rsid w:val="00E3025A"/>
    <w:rsid w:val="00E56F20"/>
    <w:rsid w:val="00E92EFD"/>
    <w:rsid w:val="00EE6803"/>
    <w:rsid w:val="00F66982"/>
    <w:rsid w:val="00FA7032"/>
    <w:rsid w:val="00FC693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64" w:lineRule="auto"/>
    </w:pPr>
    <w:rPr>
      <w:rFonts w:ascii="Calibri" w:hAnsi="Calibri"/>
      <w:sz w:val="21"/>
      <w:szCs w:val="22"/>
      <w:lang w:val="en-US" w:eastAsia="en-US"/>
    </w:rPr>
  </w:style>
  <w:style w:type="paragraph" w:styleId="Nagwek1">
    <w:name w:val="heading 1"/>
    <w:basedOn w:val="Normalny"/>
    <w:next w:val="Normalny"/>
    <w:link w:val="Nagwek1Znak"/>
    <w:uiPriority w:val="9"/>
    <w:qFormat/>
    <w:rsid w:val="00FC693F"/>
    <w:pPr>
      <w:keepNext/>
      <w:keepLines/>
      <w:spacing w:before="320" w:after="160"/>
      <w:outlineLvl w:val="0"/>
    </w:pPr>
    <w:rPr>
      <w:rFonts w:eastAsia="MS Gothic"/>
      <w:b/>
      <w:bCs/>
      <w:color w:val="000000"/>
      <w:sz w:val="32"/>
      <w:szCs w:val="28"/>
    </w:rPr>
  </w:style>
  <w:style w:type="paragraph" w:styleId="Nagwek2">
    <w:name w:val="heading 2"/>
    <w:basedOn w:val="Normalny"/>
    <w:next w:val="Normalny"/>
    <w:link w:val="Nagwek2Znak"/>
    <w:uiPriority w:val="9"/>
    <w:unhideWhenUsed/>
    <w:qFormat/>
    <w:rsid w:val="00FC693F"/>
    <w:pPr>
      <w:keepNext/>
      <w:keepLines/>
      <w:spacing w:before="240" w:after="120"/>
      <w:outlineLvl w:val="1"/>
    </w:pPr>
    <w:rPr>
      <w:rFonts w:eastAsia="MS Gothic"/>
      <w:b/>
      <w:bCs/>
      <w:color w:val="000000"/>
      <w:sz w:val="26"/>
      <w:szCs w:val="26"/>
    </w:rPr>
  </w:style>
  <w:style w:type="paragraph" w:styleId="Nagwek3">
    <w:name w:val="heading 3"/>
    <w:basedOn w:val="Normalny"/>
    <w:next w:val="Normalny"/>
    <w:link w:val="Nagwek3Znak"/>
    <w:uiPriority w:val="9"/>
    <w:unhideWhenUsed/>
    <w:qFormat/>
    <w:rsid w:val="00FC693F"/>
    <w:pPr>
      <w:keepNext/>
      <w:keepLines/>
      <w:spacing w:before="160" w:after="80"/>
      <w:outlineLvl w:val="2"/>
    </w:pPr>
    <w:rPr>
      <w:rFonts w:eastAsia="MS Gothic"/>
      <w:b/>
      <w:bCs/>
      <w:color w:val="000000"/>
      <w:sz w:val="24"/>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eastAsia="MS Gothic"/>
      <w:b/>
      <w:bCs/>
      <w:i/>
      <w:iCs/>
      <w:color w:val="000000"/>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eastAsia="MS Gothic"/>
      <w:color w:val="000000"/>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eastAsia="MS Gothic"/>
      <w:i/>
      <w:iCs/>
      <w:color w:val="000000"/>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eastAsia="MS Gothic"/>
      <w:i/>
      <w:iCs/>
      <w:color w:val="000000"/>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eastAsia="MS Gothic"/>
      <w:color w:val="000000"/>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eastAsia="MS Gothic"/>
      <w:i/>
      <w:iCs/>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rPr>
      <w:sz w:val="22"/>
      <w:szCs w:val="22"/>
      <w:lang w:val="en-US" w:eastAsia="en-US"/>
    </w:rPr>
  </w:style>
  <w:style w:type="character" w:customStyle="1" w:styleId="Nagwek1Znak">
    <w:name w:val="Nagłówek 1 Znak"/>
    <w:link w:val="Nagwek1"/>
    <w:uiPriority w:val="9"/>
    <w:rsid w:val="00FC693F"/>
    <w:rPr>
      <w:rFonts w:ascii="Calibri" w:eastAsia="MS Gothic" w:hAnsi="Calibri" w:cs="Times New Roman"/>
      <w:b/>
      <w:bCs/>
      <w:color w:val="000000"/>
      <w:sz w:val="28"/>
      <w:szCs w:val="28"/>
    </w:rPr>
  </w:style>
  <w:style w:type="character" w:customStyle="1" w:styleId="Nagwek2Znak">
    <w:name w:val="Nagłówek 2 Znak"/>
    <w:link w:val="Nagwek2"/>
    <w:uiPriority w:val="9"/>
    <w:rsid w:val="00FC693F"/>
    <w:rPr>
      <w:rFonts w:ascii="Calibri" w:eastAsia="MS Gothic" w:hAnsi="Calibri" w:cs="Times New Roman"/>
      <w:b/>
      <w:bCs/>
      <w:color w:val="000000"/>
      <w:sz w:val="26"/>
      <w:szCs w:val="26"/>
    </w:rPr>
  </w:style>
  <w:style w:type="character" w:customStyle="1" w:styleId="Nagwek3Znak">
    <w:name w:val="Nagłówek 3 Znak"/>
    <w:link w:val="Nagwek3"/>
    <w:uiPriority w:val="9"/>
    <w:rsid w:val="00FC693F"/>
    <w:rPr>
      <w:rFonts w:ascii="Calibri" w:eastAsia="MS Gothic" w:hAnsi="Calibri" w:cs="Times New Roman"/>
      <w:b/>
      <w:bCs/>
      <w:color w:val="000000"/>
    </w:rPr>
  </w:style>
  <w:style w:type="paragraph" w:styleId="Tytu">
    <w:name w:val="Title"/>
    <w:basedOn w:val="Normalny"/>
    <w:next w:val="Normalny"/>
    <w:link w:val="TytuZnak"/>
    <w:uiPriority w:val="10"/>
    <w:qFormat/>
    <w:rsid w:val="00FC693F"/>
    <w:pPr>
      <w:spacing w:after="300" w:line="240" w:lineRule="auto"/>
      <w:contextualSpacing/>
    </w:pPr>
    <w:rPr>
      <w:rFonts w:eastAsia="MS Gothic"/>
      <w:color w:val="000000"/>
      <w:spacing w:val="5"/>
      <w:kern w:val="28"/>
      <w:sz w:val="52"/>
      <w:szCs w:val="52"/>
    </w:rPr>
  </w:style>
  <w:style w:type="character" w:customStyle="1" w:styleId="TytuZnak">
    <w:name w:val="Tytuł Znak"/>
    <w:link w:val="Tytu"/>
    <w:uiPriority w:val="10"/>
    <w:rsid w:val="00FC693F"/>
    <w:rPr>
      <w:rFonts w:ascii="Calibri" w:eastAsia="MS Gothic" w:hAnsi="Calibri" w:cs="Times New Roman"/>
      <w:color w:val="000000"/>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eastAsia="MS Gothic"/>
      <w:i/>
      <w:iCs/>
      <w:color w:val="000000"/>
      <w:spacing w:val="15"/>
      <w:sz w:val="24"/>
      <w:szCs w:val="24"/>
    </w:rPr>
  </w:style>
  <w:style w:type="character" w:customStyle="1" w:styleId="PodtytuZnak">
    <w:name w:val="Podtytuł Znak"/>
    <w:link w:val="Podtytu"/>
    <w:uiPriority w:val="11"/>
    <w:rsid w:val="00FC693F"/>
    <w:rPr>
      <w:rFonts w:ascii="Calibri" w:eastAsia="MS Gothic" w:hAnsi="Calibri" w:cs="Times New Roman"/>
      <w:i/>
      <w:iCs/>
      <w:color w:val="000000"/>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customStyle="1" w:styleId="TekstmakraZnak">
    <w:name w:val="Tekst makra Znak"/>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rPr>
  </w:style>
  <w:style w:type="character" w:customStyle="1" w:styleId="CytatZnak">
    <w:name w:val="Cytat Znak"/>
    <w:link w:val="Cytat"/>
    <w:uiPriority w:val="29"/>
    <w:rsid w:val="00FC693F"/>
    <w:rPr>
      <w:i/>
      <w:iCs/>
      <w:color w:val="000000"/>
    </w:rPr>
  </w:style>
  <w:style w:type="character" w:customStyle="1" w:styleId="Nagwek4Znak">
    <w:name w:val="Nagłówek 4 Znak"/>
    <w:link w:val="Nagwek4"/>
    <w:uiPriority w:val="9"/>
    <w:semiHidden/>
    <w:rsid w:val="00FC693F"/>
    <w:rPr>
      <w:rFonts w:ascii="Calibri" w:eastAsia="MS Gothic" w:hAnsi="Calibri" w:cs="Times New Roman"/>
      <w:b/>
      <w:bCs/>
      <w:i/>
      <w:iCs/>
      <w:color w:val="000000"/>
    </w:rPr>
  </w:style>
  <w:style w:type="character" w:customStyle="1" w:styleId="Nagwek5Znak">
    <w:name w:val="Nagłówek 5 Znak"/>
    <w:link w:val="Nagwek5"/>
    <w:uiPriority w:val="9"/>
    <w:semiHidden/>
    <w:rsid w:val="00FC693F"/>
    <w:rPr>
      <w:rFonts w:ascii="Calibri" w:eastAsia="MS Gothic" w:hAnsi="Calibri" w:cs="Times New Roman"/>
      <w:color w:val="000000"/>
    </w:rPr>
  </w:style>
  <w:style w:type="character" w:customStyle="1" w:styleId="Nagwek6Znak">
    <w:name w:val="Nagłówek 6 Znak"/>
    <w:link w:val="Nagwek6"/>
    <w:uiPriority w:val="9"/>
    <w:semiHidden/>
    <w:rsid w:val="00FC693F"/>
    <w:rPr>
      <w:rFonts w:ascii="Calibri" w:eastAsia="MS Gothic" w:hAnsi="Calibri" w:cs="Times New Roman"/>
      <w:i/>
      <w:iCs/>
      <w:color w:val="000000"/>
    </w:rPr>
  </w:style>
  <w:style w:type="character" w:customStyle="1" w:styleId="Nagwek7Znak">
    <w:name w:val="Nagłówek 7 Znak"/>
    <w:link w:val="Nagwek7"/>
    <w:uiPriority w:val="9"/>
    <w:semiHidden/>
    <w:rsid w:val="00FC693F"/>
    <w:rPr>
      <w:rFonts w:ascii="Calibri" w:eastAsia="MS Gothic" w:hAnsi="Calibri" w:cs="Times New Roman"/>
      <w:i/>
      <w:iCs/>
      <w:color w:val="000000"/>
    </w:rPr>
  </w:style>
  <w:style w:type="character" w:customStyle="1" w:styleId="Nagwek8Znak">
    <w:name w:val="Nagłówek 8 Znak"/>
    <w:link w:val="Nagwek8"/>
    <w:uiPriority w:val="9"/>
    <w:semiHidden/>
    <w:rsid w:val="00FC693F"/>
    <w:rPr>
      <w:rFonts w:ascii="Calibri" w:eastAsia="MS Gothic" w:hAnsi="Calibri" w:cs="Times New Roman"/>
      <w:color w:val="000000"/>
      <w:sz w:val="20"/>
      <w:szCs w:val="20"/>
    </w:rPr>
  </w:style>
  <w:style w:type="character" w:customStyle="1" w:styleId="Nagwek9Znak">
    <w:name w:val="Nagłówek 9 Znak"/>
    <w:link w:val="Nagwek9"/>
    <w:uiPriority w:val="9"/>
    <w:semiHidden/>
    <w:rsid w:val="00FC693F"/>
    <w:rPr>
      <w:rFonts w:ascii="Calibri" w:eastAsia="MS Gothic" w:hAnsi="Calibri" w:cs="Times New Roman"/>
      <w:i/>
      <w:iCs/>
      <w:color w:val="000000"/>
      <w:sz w:val="20"/>
      <w:szCs w:val="20"/>
    </w:rPr>
  </w:style>
  <w:style w:type="paragraph" w:styleId="Legenda">
    <w:name w:val="caption"/>
    <w:basedOn w:val="Normalny"/>
    <w:next w:val="Normalny"/>
    <w:uiPriority w:val="35"/>
    <w:semiHidden/>
    <w:unhideWhenUsed/>
    <w:qFormat/>
    <w:rsid w:val="00FC693F"/>
    <w:pPr>
      <w:spacing w:line="240" w:lineRule="auto"/>
    </w:pPr>
    <w:rPr>
      <w:b/>
      <w:bCs/>
      <w:color w:val="000000"/>
      <w:sz w:val="18"/>
      <w:szCs w:val="18"/>
    </w:rPr>
  </w:style>
  <w:style w:type="character" w:styleId="Pogrubienie">
    <w:name w:val="Strong"/>
    <w:uiPriority w:val="22"/>
    <w:qFormat/>
    <w:rsid w:val="00FC693F"/>
    <w:rPr>
      <w:b/>
      <w:bCs/>
    </w:rPr>
  </w:style>
  <w:style w:type="character" w:styleId="Uwydatnienie">
    <w:name w:val="Emphasis"/>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pBdr>
      <w:spacing w:before="200" w:after="280"/>
      <w:ind w:left="936" w:right="936"/>
    </w:pPr>
    <w:rPr>
      <w:b/>
      <w:bCs/>
      <w:i/>
      <w:iCs/>
      <w:color w:val="000000"/>
    </w:rPr>
  </w:style>
  <w:style w:type="character" w:customStyle="1" w:styleId="CytatintensywnyZnak">
    <w:name w:val="Cytat intensywny Znak"/>
    <w:link w:val="Cytatintensywny"/>
    <w:uiPriority w:val="30"/>
    <w:rsid w:val="00FC693F"/>
    <w:rPr>
      <w:b/>
      <w:bCs/>
      <w:i/>
      <w:iCs/>
      <w:color w:val="000000"/>
    </w:rPr>
  </w:style>
  <w:style w:type="character" w:styleId="Wyrnieniedelikatne">
    <w:name w:val="Subtle Emphasis"/>
    <w:uiPriority w:val="19"/>
    <w:qFormat/>
    <w:rsid w:val="00FC693F"/>
    <w:rPr>
      <w:i/>
      <w:iCs/>
      <w:color w:val="000000"/>
    </w:rPr>
  </w:style>
  <w:style w:type="character" w:styleId="Wyrnienieintensywne">
    <w:name w:val="Intense Emphasis"/>
    <w:uiPriority w:val="21"/>
    <w:qFormat/>
    <w:rsid w:val="00FC693F"/>
    <w:rPr>
      <w:b/>
      <w:bCs/>
      <w:i/>
      <w:iCs/>
      <w:color w:val="000000"/>
    </w:rPr>
  </w:style>
  <w:style w:type="character" w:styleId="Odwoaniedelikatne">
    <w:name w:val="Subtle Reference"/>
    <w:uiPriority w:val="31"/>
    <w:qFormat/>
    <w:rsid w:val="00FC693F"/>
    <w:rPr>
      <w:smallCaps/>
      <w:color w:val="000000"/>
      <w:u w:val="single"/>
    </w:rPr>
  </w:style>
  <w:style w:type="character" w:styleId="Odwoanieintensywne">
    <w:name w:val="Intense Reference"/>
    <w:uiPriority w:val="32"/>
    <w:qFormat/>
    <w:rsid w:val="00FC693F"/>
    <w:rPr>
      <w:b/>
      <w:bCs/>
      <w:smallCaps/>
      <w:color w:val="000000"/>
      <w:spacing w:val="5"/>
      <w:u w:val="single"/>
    </w:rPr>
  </w:style>
  <w:style w:type="character" w:styleId="Tytuksiki">
    <w:name w:val="Book Title"/>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Jasnecieniowanie1">
    <w:name w:val="Jasne cieniowanie1"/>
    <w:basedOn w:val="Standardowy"/>
    <w:uiPriority w:val="60"/>
    <w:rsid w:val="00FC693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akcent11">
    <w:name w:val="Jasne cieniowanie — akcent 11"/>
    <w:basedOn w:val="Standardowy"/>
    <w:uiPriority w:val="60"/>
    <w:rsid w:val="00FC693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Jasnecieniowanieakcent2">
    <w:name w:val="Light Shading Accent 2"/>
    <w:basedOn w:val="Standardowy"/>
    <w:uiPriority w:val="60"/>
    <w:rsid w:val="00FC693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Jasnecieniowanieakcent3">
    <w:name w:val="Light Shading Accent 3"/>
    <w:basedOn w:val="Standardowy"/>
    <w:uiPriority w:val="60"/>
    <w:rsid w:val="00FC693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Jasnecieniowanieakcent4">
    <w:name w:val="Light Shading Accent 4"/>
    <w:basedOn w:val="Standardowy"/>
    <w:uiPriority w:val="60"/>
    <w:rsid w:val="00FC693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Jasnecieniowanieakcent5">
    <w:name w:val="Light Shading Accent 5"/>
    <w:basedOn w:val="Standardowy"/>
    <w:uiPriority w:val="60"/>
    <w:rsid w:val="00FC693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Jasnecieniowanieakcent6">
    <w:name w:val="Light Shading Accent 6"/>
    <w:basedOn w:val="Standardowy"/>
    <w:uiPriority w:val="60"/>
    <w:rsid w:val="00FC693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Jasnalista1">
    <w:name w:val="Jasna lista1"/>
    <w:basedOn w:val="Standardowy"/>
    <w:uiPriority w:val="61"/>
    <w:rsid w:val="00FC693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listaakcent11">
    <w:name w:val="Jasna lista — akcent 11"/>
    <w:basedOn w:val="Standardowy"/>
    <w:uiPriority w:val="61"/>
    <w:rsid w:val="00FC693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Jasnasiatka1">
    <w:name w:val="Jasna siatka1"/>
    <w:basedOn w:val="Standardowy"/>
    <w:uiPriority w:val="62"/>
    <w:rsid w:val="00CB06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siatkaakcent11">
    <w:name w:val="Jasna siatka — akcent 11"/>
    <w:basedOn w:val="Standardowy"/>
    <w:uiPriority w:val="62"/>
    <w:rsid w:val="00CB06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redniecieniowanie11">
    <w:name w:val="Średnie cieniowanie 11"/>
    <w:basedOn w:val="Standardowy"/>
    <w:uiPriority w:val="63"/>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redniecieniowanie1akcent11">
    <w:name w:val="Średnie cieniowanie 1 — akcent 11"/>
    <w:basedOn w:val="Standardowy"/>
    <w:uiPriority w:val="63"/>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redniecieniowanie21">
    <w:name w:val="Średnie cieniowanie 2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000000"/>
      </w:tcPr>
    </w:tblStylePr>
    <w:tblStylePr w:type="lastCol">
      <w:rPr>
        <w:b/>
        <w:bCs/>
        <w:color w:val="000000"/>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customStyle="1" w:styleId="redniecieniowanie2akcent11">
    <w:name w:val="Średnie cieniowanie 2 — akcent 1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4F81BD"/>
      </w:tcPr>
    </w:tblStylePr>
    <w:tblStylePr w:type="lastCol">
      <w:rPr>
        <w:b/>
        <w:bCs/>
        <w:color w:val="000000"/>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C0504D"/>
      </w:tcPr>
    </w:tblStylePr>
    <w:tblStylePr w:type="lastCol">
      <w:rPr>
        <w:b/>
        <w:bCs/>
        <w:color w:val="000000"/>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9BBB59"/>
      </w:tcPr>
    </w:tblStylePr>
    <w:tblStylePr w:type="lastCol">
      <w:rPr>
        <w:b/>
        <w:bCs/>
        <w:color w:val="000000"/>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8064A2"/>
      </w:tcPr>
    </w:tblStylePr>
    <w:tblStylePr w:type="lastCol">
      <w:rPr>
        <w:b/>
        <w:bCs/>
        <w:color w:val="000000"/>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4BACC6"/>
      </w:tcPr>
    </w:tblStylePr>
    <w:tblStylePr w:type="lastCol">
      <w:rPr>
        <w:b/>
        <w:bCs/>
        <w:color w:val="000000"/>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F79646"/>
      </w:tcPr>
    </w:tblStylePr>
    <w:tblStylePr w:type="lastCol">
      <w:rPr>
        <w:b/>
        <w:bCs/>
        <w:color w:val="000000"/>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customStyle="1" w:styleId="rednialista11">
    <w:name w:val="Średnia lista 11"/>
    <w:basedOn w:val="Standardowy"/>
    <w:uiPriority w:val="65"/>
    <w:rsid w:val="00CB06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b/>
        <w:bCs/>
        <w:color w:val="000000"/>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rednialista1akcent11">
    <w:name w:val="Średnia lista 1 — akcent 11"/>
    <w:basedOn w:val="Standardowy"/>
    <w:uiPriority w:val="65"/>
    <w:rsid w:val="00CB06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b/>
        <w:bCs/>
        <w:color w:val="000000"/>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rednialista1akcent2">
    <w:name w:val="Medium List 1 Accent 2"/>
    <w:basedOn w:val="Standardowy"/>
    <w:uiPriority w:val="65"/>
    <w:rsid w:val="00CB06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b/>
        <w:bCs/>
        <w:color w:val="000000"/>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rednialista1akcent3">
    <w:name w:val="Medium List 1 Accent 3"/>
    <w:basedOn w:val="Standardowy"/>
    <w:uiPriority w:val="65"/>
    <w:rsid w:val="00CB06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b/>
        <w:bCs/>
        <w:color w:val="000000"/>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rednialista1akcent4">
    <w:name w:val="Medium List 1 Accent 4"/>
    <w:basedOn w:val="Standardowy"/>
    <w:uiPriority w:val="65"/>
    <w:rsid w:val="00CB06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b/>
        <w:bCs/>
        <w:color w:val="000000"/>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rednialista1akcent5">
    <w:name w:val="Medium List 1 Accent 5"/>
    <w:basedOn w:val="Standardowy"/>
    <w:uiPriority w:val="65"/>
    <w:rsid w:val="00CB06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b/>
        <w:bCs/>
        <w:color w:val="000000"/>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rednialista1akcent6">
    <w:name w:val="Medium List 1 Accent 6"/>
    <w:basedOn w:val="Standardowy"/>
    <w:uiPriority w:val="65"/>
    <w:rsid w:val="00CB06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b/>
        <w:bCs/>
        <w:color w:val="000000"/>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rednialista21">
    <w:name w:val="Średnia lista 21"/>
    <w:basedOn w:val="Standardowy"/>
    <w:uiPriority w:val="66"/>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rednialista2akcent1">
    <w:name w:val="Medium List 2 Accent 1"/>
    <w:basedOn w:val="Standardowy"/>
    <w:uiPriority w:val="66"/>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rednialista2akcent2">
    <w:name w:val="Medium List 2 Accent 2"/>
    <w:basedOn w:val="Standardowy"/>
    <w:uiPriority w:val="66"/>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rednialista2akcent3">
    <w:name w:val="Medium List 2 Accent 3"/>
    <w:basedOn w:val="Standardowy"/>
    <w:uiPriority w:val="66"/>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rednialista2akcent4">
    <w:name w:val="Medium List 2 Accent 4"/>
    <w:basedOn w:val="Standardowy"/>
    <w:uiPriority w:val="66"/>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rednialista2akcent5">
    <w:name w:val="Medium List 2 Accent 5"/>
    <w:basedOn w:val="Standardowy"/>
    <w:uiPriority w:val="66"/>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rednialista2akcent6">
    <w:name w:val="Medium List 2 Accent 6"/>
    <w:basedOn w:val="Standardowy"/>
    <w:uiPriority w:val="66"/>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redniasiatka11">
    <w:name w:val="Średnia siatka 11"/>
    <w:basedOn w:val="Standardowy"/>
    <w:uiPriority w:val="67"/>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redniasiatka21">
    <w:name w:val="Średnia siatka 21"/>
    <w:basedOn w:val="Standardowy"/>
    <w:uiPriority w:val="68"/>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redniasiatka2akcent1">
    <w:name w:val="Medium Grid 2 Accent 1"/>
    <w:basedOn w:val="Standardowy"/>
    <w:uiPriority w:val="68"/>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redniasiatka2akcent2">
    <w:name w:val="Medium Grid 2 Accent 2"/>
    <w:basedOn w:val="Standardowy"/>
    <w:uiPriority w:val="68"/>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redniasiatka2akcent3">
    <w:name w:val="Medium Grid 2 Accent 3"/>
    <w:basedOn w:val="Standardowy"/>
    <w:uiPriority w:val="68"/>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redniasiatka2akcent4">
    <w:name w:val="Medium Grid 2 Accent 4"/>
    <w:basedOn w:val="Standardowy"/>
    <w:uiPriority w:val="68"/>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redniasiatka2akcent5">
    <w:name w:val="Medium Grid 2 Accent 5"/>
    <w:basedOn w:val="Standardowy"/>
    <w:uiPriority w:val="68"/>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redniasiatka2akcent6">
    <w:name w:val="Medium Grid 2 Accent 6"/>
    <w:basedOn w:val="Standardowy"/>
    <w:uiPriority w:val="68"/>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redniasiatka31">
    <w:name w:val="Średnia siatka 31"/>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iemnalista1">
    <w:name w:val="Ciemna lista1"/>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iemnalista2akcent1">
    <w:name w:val="Dark List Accent 1"/>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Ciemnalistaakcent2">
    <w:name w:val="Dark List Accent 2"/>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iemnalistaakcent3">
    <w:name w:val="Dark List Accent 3"/>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Ciemnalistaakcent4">
    <w:name w:val="Dark List Accent 4"/>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Ciemnalistaakcent5">
    <w:name w:val="Dark List Accent 5"/>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Ciemnalistaakcent6">
    <w:name w:val="Dark List Accent 6"/>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Kolorowecieniowanie1">
    <w:name w:val="Kolorowe cieniowanie1"/>
    <w:basedOn w:val="Standardowy"/>
    <w:uiPriority w:val="71"/>
    <w:rsid w:val="00CB06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000000"/>
      </w:tcPr>
    </w:tblStylePr>
    <w:tblStylePr w:type="firstCol">
      <w:rPr>
        <w:color w:val="000000"/>
      </w:rPr>
      <w:tblPr/>
      <w:tcPr>
        <w:tcBorders>
          <w:top w:val="nil"/>
          <w:left w:val="nil"/>
          <w:bottom w:val="nil"/>
          <w:right w:val="nil"/>
          <w:insideH w:val="single" w:sz="4" w:space="0" w:color="000000"/>
          <w:insideV w:val="nil"/>
        </w:tcBorders>
        <w:shd w:val="clear" w:color="auto" w:fill="000000"/>
      </w:tcPr>
    </w:tblStylePr>
    <w:tblStylePr w:type="lastCol">
      <w:rPr>
        <w:color w:val="000000"/>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olorowecieniowanieakcent1">
    <w:name w:val="Colorful Shading Accent 1"/>
    <w:basedOn w:val="Standardowy"/>
    <w:uiPriority w:val="71"/>
    <w:rsid w:val="00CB06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2C4C74"/>
      </w:tcPr>
    </w:tblStylePr>
    <w:tblStylePr w:type="firstCol">
      <w:rPr>
        <w:color w:val="000000"/>
      </w:rPr>
      <w:tblPr/>
      <w:tcPr>
        <w:tcBorders>
          <w:top w:val="nil"/>
          <w:left w:val="nil"/>
          <w:bottom w:val="nil"/>
          <w:right w:val="nil"/>
          <w:insideH w:val="single" w:sz="4" w:space="0" w:color="2C4C74"/>
          <w:insideV w:val="nil"/>
        </w:tcBorders>
        <w:shd w:val="clear" w:color="auto" w:fill="2C4C74"/>
      </w:tcPr>
    </w:tblStylePr>
    <w:tblStylePr w:type="lastCol">
      <w:rPr>
        <w:color w:val="000000"/>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Kolorowecieniowanieakcent2">
    <w:name w:val="Colorful Shading Accent 2"/>
    <w:basedOn w:val="Standardowy"/>
    <w:uiPriority w:val="71"/>
    <w:rsid w:val="00CB06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772C2A"/>
      </w:tcPr>
    </w:tblStylePr>
    <w:tblStylePr w:type="firstCol">
      <w:rPr>
        <w:color w:val="000000"/>
      </w:rPr>
      <w:tblPr/>
      <w:tcPr>
        <w:tcBorders>
          <w:top w:val="nil"/>
          <w:left w:val="nil"/>
          <w:bottom w:val="nil"/>
          <w:right w:val="nil"/>
          <w:insideH w:val="single" w:sz="4" w:space="0" w:color="772C2A"/>
          <w:insideV w:val="nil"/>
        </w:tcBorders>
        <w:shd w:val="clear" w:color="auto" w:fill="772C2A"/>
      </w:tcPr>
    </w:tblStylePr>
    <w:tblStylePr w:type="lastCol">
      <w:rPr>
        <w:color w:val="000000"/>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Kolorowecieniowanieakcent3">
    <w:name w:val="Colorful Shading Accent 3"/>
    <w:basedOn w:val="Standardowy"/>
    <w:uiPriority w:val="71"/>
    <w:rsid w:val="00CB06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5E7530"/>
      </w:tcPr>
    </w:tblStylePr>
    <w:tblStylePr w:type="firstCol">
      <w:rPr>
        <w:color w:val="000000"/>
      </w:rPr>
      <w:tblPr/>
      <w:tcPr>
        <w:tcBorders>
          <w:top w:val="nil"/>
          <w:left w:val="nil"/>
          <w:bottom w:val="nil"/>
          <w:right w:val="nil"/>
          <w:insideH w:val="single" w:sz="4" w:space="0" w:color="5E7530"/>
          <w:insideV w:val="nil"/>
        </w:tcBorders>
        <w:shd w:val="clear" w:color="auto" w:fill="5E7530"/>
      </w:tcPr>
    </w:tblStylePr>
    <w:tblStylePr w:type="lastCol">
      <w:rPr>
        <w:color w:val="000000"/>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Kolorowecieniowanieakcent4">
    <w:name w:val="Colorful Shading Accent 4"/>
    <w:basedOn w:val="Standardowy"/>
    <w:uiPriority w:val="71"/>
    <w:rsid w:val="00CB06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4C3B62"/>
      </w:tcPr>
    </w:tblStylePr>
    <w:tblStylePr w:type="firstCol">
      <w:rPr>
        <w:color w:val="000000"/>
      </w:rPr>
      <w:tblPr/>
      <w:tcPr>
        <w:tcBorders>
          <w:top w:val="nil"/>
          <w:left w:val="nil"/>
          <w:bottom w:val="nil"/>
          <w:right w:val="nil"/>
          <w:insideH w:val="single" w:sz="4" w:space="0" w:color="4C3B62"/>
          <w:insideV w:val="nil"/>
        </w:tcBorders>
        <w:shd w:val="clear" w:color="auto" w:fill="4C3B62"/>
      </w:tcPr>
    </w:tblStylePr>
    <w:tblStylePr w:type="lastCol">
      <w:rPr>
        <w:color w:val="000000"/>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Kolorowecieniowanieakcent5">
    <w:name w:val="Colorful Shading Accent 5"/>
    <w:basedOn w:val="Standardowy"/>
    <w:uiPriority w:val="71"/>
    <w:rsid w:val="00CB06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276A7C"/>
      </w:tcPr>
    </w:tblStylePr>
    <w:tblStylePr w:type="firstCol">
      <w:rPr>
        <w:color w:val="000000"/>
      </w:rPr>
      <w:tblPr/>
      <w:tcPr>
        <w:tcBorders>
          <w:top w:val="nil"/>
          <w:left w:val="nil"/>
          <w:bottom w:val="nil"/>
          <w:right w:val="nil"/>
          <w:insideH w:val="single" w:sz="4" w:space="0" w:color="276A7C"/>
          <w:insideV w:val="nil"/>
        </w:tcBorders>
        <w:shd w:val="clear" w:color="auto" w:fill="276A7C"/>
      </w:tcPr>
    </w:tblStylePr>
    <w:tblStylePr w:type="lastCol">
      <w:rPr>
        <w:color w:val="000000"/>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71"/>
    <w:rsid w:val="00CB06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B65608"/>
      </w:tcPr>
    </w:tblStylePr>
    <w:tblStylePr w:type="firstCol">
      <w:rPr>
        <w:color w:val="000000"/>
      </w:rPr>
      <w:tblPr/>
      <w:tcPr>
        <w:tcBorders>
          <w:top w:val="nil"/>
          <w:left w:val="nil"/>
          <w:bottom w:val="nil"/>
          <w:right w:val="nil"/>
          <w:insideH w:val="single" w:sz="4" w:space="0" w:color="B65608"/>
          <w:insideV w:val="nil"/>
        </w:tcBorders>
        <w:shd w:val="clear" w:color="auto" w:fill="B65608"/>
      </w:tcPr>
    </w:tblStylePr>
    <w:tblStylePr w:type="lastCol">
      <w:rPr>
        <w:color w:val="000000"/>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Kolorowalista1">
    <w:name w:val="Kolorowa lista1"/>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olorowalistaakcent1">
    <w:name w:val="Colorful List Accent 1"/>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olorowalistaakcent2">
    <w:name w:val="Colorful List Accent 2"/>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olorowalistaakcent3">
    <w:name w:val="Colorful List Accent 3"/>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000000"/>
      </w:rPr>
      <w:tblPr/>
      <w:tcPr>
        <w:tcBorders>
          <w:bottom w:val="single" w:sz="12" w:space="0" w:color="FFFFFF"/>
        </w:tcBorders>
        <w:shd w:val="clear" w:color="auto" w:fill="664E82"/>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Kolorowalistaakcent4">
    <w:name w:val="Colorful List Accent 4"/>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000000"/>
      </w:rPr>
      <w:tblPr/>
      <w:tcPr>
        <w:tcBorders>
          <w:bottom w:val="single" w:sz="12" w:space="0" w:color="FFFFFF"/>
        </w:tcBorders>
        <w:shd w:val="clear" w:color="auto" w:fill="7E9C40"/>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Kolorowalistaakcent5">
    <w:name w:val="Colorful List Accent 5"/>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000000"/>
      </w:rPr>
      <w:tblPr/>
      <w:tcPr>
        <w:tcBorders>
          <w:bottom w:val="single" w:sz="12" w:space="0" w:color="FFFFFF"/>
        </w:tcBorders>
        <w:shd w:val="clear" w:color="auto" w:fill="F2730A"/>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Kolorowalistaakcent6">
    <w:name w:val="Colorful List Accent 6"/>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000000"/>
      </w:rPr>
      <w:tblPr/>
      <w:tcPr>
        <w:tcBorders>
          <w:bottom w:val="single" w:sz="12" w:space="0" w:color="FFFFFF"/>
        </w:tcBorders>
        <w:shd w:val="clear" w:color="auto" w:fill="348DA5"/>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Kolorowasiatka1">
    <w:name w:val="Kolorowa siatka1"/>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0000"/>
      </w:rPr>
      <w:tblPr/>
      <w:tcPr>
        <w:shd w:val="clear" w:color="auto" w:fill="000000"/>
      </w:tcPr>
    </w:tblStylePr>
    <w:tblStylePr w:type="lastCol">
      <w:rPr>
        <w:color w:val="000000"/>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olorowasiatkaakcent1">
    <w:name w:val="Colorful Grid Accent 1"/>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000000"/>
      </w:rPr>
      <w:tblPr/>
      <w:tcPr>
        <w:shd w:val="clear" w:color="auto" w:fill="365F91"/>
      </w:tcPr>
    </w:tblStylePr>
    <w:tblStylePr w:type="lastCol">
      <w:rPr>
        <w:color w:val="000000"/>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olorowasiatkaakcent2">
    <w:name w:val="Colorful Grid Accent 2"/>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000000"/>
      </w:rPr>
      <w:tblPr/>
      <w:tcPr>
        <w:shd w:val="clear" w:color="auto" w:fill="943634"/>
      </w:tcPr>
    </w:tblStylePr>
    <w:tblStylePr w:type="lastCol">
      <w:rPr>
        <w:color w:val="000000"/>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olorowasiatkaakcent3">
    <w:name w:val="Colorful Grid Accent 3"/>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000000"/>
      </w:rPr>
      <w:tblPr/>
      <w:tcPr>
        <w:shd w:val="clear" w:color="auto" w:fill="76923C"/>
      </w:tcPr>
    </w:tblStylePr>
    <w:tblStylePr w:type="lastCol">
      <w:rPr>
        <w:color w:val="000000"/>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olorowasiatkaakcent4">
    <w:name w:val="Colorful Grid Accent 4"/>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000000"/>
      </w:rPr>
      <w:tblPr/>
      <w:tcPr>
        <w:shd w:val="clear" w:color="auto" w:fill="5F497A"/>
      </w:tcPr>
    </w:tblStylePr>
    <w:tblStylePr w:type="lastCol">
      <w:rPr>
        <w:color w:val="000000"/>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olorowasiatkaakcent5">
    <w:name w:val="Colorful Grid Accent 5"/>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000000"/>
      </w:rPr>
      <w:tblPr/>
      <w:tcPr>
        <w:shd w:val="clear" w:color="auto" w:fill="31849B"/>
      </w:tcPr>
    </w:tblStylePr>
    <w:tblStylePr w:type="lastCol">
      <w:rPr>
        <w:color w:val="000000"/>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olorowasiatkaakcent6">
    <w:name w:val="Colorful Grid Accent 6"/>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000000"/>
      </w:rPr>
      <w:tblPr/>
      <w:tcPr>
        <w:shd w:val="clear" w:color="auto" w:fill="E36C0A"/>
      </w:tcPr>
    </w:tblStylePr>
    <w:tblStylePr w:type="lastCol">
      <w:rPr>
        <w:color w:val="000000"/>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Odwoaniedokomentarza">
    <w:name w:val="annotation reference"/>
    <w:basedOn w:val="Domylnaczcionkaakapitu"/>
    <w:uiPriority w:val="99"/>
    <w:semiHidden/>
    <w:unhideWhenUsed/>
    <w:rsid w:val="00C17152"/>
    <w:rPr>
      <w:sz w:val="16"/>
      <w:szCs w:val="16"/>
    </w:rPr>
  </w:style>
  <w:style w:type="paragraph" w:styleId="Tekstkomentarza">
    <w:name w:val="annotation text"/>
    <w:basedOn w:val="Normalny"/>
    <w:link w:val="TekstkomentarzaZnak"/>
    <w:uiPriority w:val="99"/>
    <w:semiHidden/>
    <w:unhideWhenUsed/>
    <w:rsid w:val="00C17152"/>
    <w:rPr>
      <w:sz w:val="20"/>
      <w:szCs w:val="20"/>
    </w:rPr>
  </w:style>
  <w:style w:type="character" w:customStyle="1" w:styleId="TekstkomentarzaZnak">
    <w:name w:val="Tekst komentarza Znak"/>
    <w:basedOn w:val="Domylnaczcionkaakapitu"/>
    <w:link w:val="Tekstkomentarza"/>
    <w:uiPriority w:val="99"/>
    <w:semiHidden/>
    <w:rsid w:val="00C17152"/>
    <w:rPr>
      <w:rFonts w:ascii="Calibri" w:hAnsi="Calibri"/>
      <w:lang w:val="en-US" w:eastAsia="en-US"/>
    </w:rPr>
  </w:style>
  <w:style w:type="paragraph" w:styleId="Tematkomentarza">
    <w:name w:val="annotation subject"/>
    <w:basedOn w:val="Tekstkomentarza"/>
    <w:next w:val="Tekstkomentarza"/>
    <w:link w:val="TematkomentarzaZnak"/>
    <w:uiPriority w:val="99"/>
    <w:semiHidden/>
    <w:unhideWhenUsed/>
    <w:rsid w:val="00C17152"/>
    <w:rPr>
      <w:b/>
      <w:bCs/>
    </w:rPr>
  </w:style>
  <w:style w:type="character" w:customStyle="1" w:styleId="TematkomentarzaZnak">
    <w:name w:val="Temat komentarza Znak"/>
    <w:basedOn w:val="TekstkomentarzaZnak"/>
    <w:link w:val="Tematkomentarza"/>
    <w:uiPriority w:val="99"/>
    <w:semiHidden/>
    <w:rsid w:val="00C17152"/>
    <w:rPr>
      <w:b/>
      <w:bCs/>
    </w:rPr>
  </w:style>
  <w:style w:type="paragraph" w:styleId="Tekstdymka">
    <w:name w:val="Balloon Text"/>
    <w:basedOn w:val="Normalny"/>
    <w:link w:val="TekstdymkaZnak"/>
    <w:uiPriority w:val="99"/>
    <w:semiHidden/>
    <w:unhideWhenUsed/>
    <w:rsid w:val="00C171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17152"/>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1312</TotalTime>
  <Pages>10</Pages>
  <Words>3432</Words>
  <Characters>20596</Characters>
  <Application>Microsoft Office Word</Application>
  <DocSecurity>0</DocSecurity>
  <Lines>171</Lines>
  <Paragraphs>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Regulamin świadczenia Usługi B2B/API IntegrityPhase – ACTIVE_CANDIDATE_V1.2</vt:lpstr>
      <vt:lpstr/>
    </vt:vector>
  </TitlesOfParts>
  <Company/>
  <LinksUpToDate>false</LinksUpToDate>
  <CharactersWithSpaces>23981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świadczenia Usługi B2B/API IntegrityPhase - ACTIVE CANDIDATE V1.2</dc:title>
  <dc:subject>IntegrityPhase - dokument prawny B2B/API - wersja 1.2</dc:subject>
  <dc:creator/>
  <dc:description>Aktywny kandydat V1.2 – pilot B2B</dc:description>
  <cp:lastModifiedBy>IntegrityPhase</cp:lastModifiedBy>
  <cp:revision>3</cp:revision>
  <cp:lastPrinted>2026-08-12T09:09:00Z</cp:lastPrinted>
  <dcterms:created xsi:type="dcterms:W3CDTF">2026-08-11T17:15:00Z</dcterms:created>
  <dcterms:modified xsi:type="dcterms:W3CDTF">2026-08-28T00:00:00Z</dcterms:modified>
  <cp:keywords>IntegrityPhase, B2B, API</cp:keywords>
</cp:coreProperties>
</file>