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rPr>
          <w:lang w:val="pl-PL"/>
        </w:rPr>
      </w:pPr>
      <w:r>
        <w:rPr>
          <w:rFonts w:eastAsia="Calibri"/>
          <w:b/>
          <w:color w:val="000000"/>
          <w:sz w:val="18"/>
          <w:lang w:val="pl-PL"/>
        </w:rPr>
        <w:t>INTEGRITYPHASE  |  DOKUMENT PRAWNY B2B/API</w:t>
      </w:r>
    </w:p>
    <w:p>
      <w:pPr>
        <w:pStyle w:val="Title"/>
        <w:keepNext/>
        <w:spacing w:after="140"/>
        <w:rPr>
          <w:lang w:val="pl-PL"/>
        </w:rPr>
      </w:pPr>
      <w:r>
        <w:rPr>
          <w:rFonts w:eastAsia="Calibri"/>
          <w:b/>
          <w:color w:val="000000"/>
          <w:sz w:val="42"/>
          <w:lang w:val="pl-PL"/>
        </w:rPr>
        <w:t>POLITYKA PRYWATNOŚCI INTEGRITYPHASE</w:t>
      </w:r>
    </w:p>
    <w:tbl>
      <w:tblPr>
        <w:tblW w:w="9412" w:type="dxa"/>
        <w:tblInd w:w="120" w:type="dxa"/>
        <w:tblBorders>
          <w:top w:val="single" w:sz="4" w:space="0" w:color="C9D2DD"/>
          <w:left w:val="single" w:sz="4" w:space="0" w:color="C9D2DD"/>
          <w:bottom w:val="single" w:sz="4" w:space="0" w:color="C9D2DD"/>
          <w:right w:val="single" w:sz="4" w:space="0" w:color="C9D2DD"/>
          <w:insideH w:val="single" w:sz="4" w:space="0" w:color="C9D2DD"/>
          <w:insideV w:val="single" w:sz="4" w:space="0" w:color="C9D2DD"/>
        </w:tblBorders>
        <w:tblLayout w:type="fixed"/>
        <w:tblLook w:val="04A0"/>
      </w:tblPr>
      <w:tblGrid>
        <w:gridCol w:w="1550"/>
        <w:gridCol w:w="7862"/>
      </w:tblGrid>
      <w:tr>
        <w:tc>
          <w:tcPr>
            <w:tcW w:w="1550" w:type="dxa"/>
            <w:shd w:val="clear" w:color="auto" w:fill="E8EEF5"/>
            <w:tcMar>
              <w:top w:w="90" w:type="dxa"/>
              <w:left w:w="120" w:type="dxa"/>
              <w:bottom w:w="90" w:type="dxa"/>
              <w:right w:w="120" w:type="dxa"/>
            </w:tcMar>
            <w:vAlign w:val="center"/>
          </w:tcPr>
          <w:p>
            <w:pPr>
              <w:spacing w:after="0"/>
            </w:pPr>
            <w:r>
              <w:rPr>
                <w:rFonts w:eastAsia="Calibri"/>
                <w:b/>
                <w:color w:val="000000"/>
                <w:sz w:val="18"/>
                <w:lang w:val="pl-PL"/>
              </w:rPr>
              <w:t>Status</w:t>
            </w:r>
          </w:p>
        </w:tc>
        <w:tc>
          <w:tcPr>
            <w:tcW w:w="7862" w:type="dxa"/>
            <w:tcMar>
              <w:top w:w="90" w:type="dxa"/>
              <w:left w:w="120" w:type="dxa"/>
              <w:bottom w:w="90" w:type="dxa"/>
              <w:right w:w="120" w:type="dxa"/>
            </w:tcMar>
            <w:vAlign w:val="center"/>
          </w:tcPr>
          <w:p>
            <w:r>
              <w:t xml:space="preserve">DOKUMENT DLA KLIENTA</w:t>
            </w:r>
          </w:p>
        </w:tc>
      </w:tr>
      <w:tr>
        <w:tc>
          <w:tcPr>
            <w:tcW w:w="1550" w:type="dxa"/>
            <w:shd w:val="clear" w:color="auto" w:fill="E8EEF5"/>
            <w:tcMar>
              <w:top w:w="90" w:type="dxa"/>
              <w:left w:w="120" w:type="dxa"/>
              <w:bottom w:w="90" w:type="dxa"/>
              <w:right w:w="120" w:type="dxa"/>
            </w:tcMar>
            <w:vAlign w:val="center"/>
          </w:tcPr>
          <w:p>
            <w:pPr>
              <w:spacing w:after="0"/>
            </w:pPr>
            <w:r>
              <w:rPr>
                <w:rFonts w:eastAsia="Calibri"/>
                <w:b/>
                <w:color w:val="000000"/>
                <w:sz w:val="18"/>
                <w:lang w:val="pl-PL"/>
              </w:rPr>
              <w:t>Wersja</w:t>
            </w:r>
          </w:p>
        </w:tc>
        <w:tc>
          <w:tcPr>
            <w:tcW w:w="7862" w:type="dxa"/>
            <w:tcMar>
              <w:top w:w="90" w:type="dxa"/>
              <w:left w:w="120" w:type="dxa"/>
              <w:bottom w:w="90" w:type="dxa"/>
              <w:right w:w="120" w:type="dxa"/>
            </w:tcMar>
            <w:vAlign w:val="center"/>
          </w:tcPr>
          <w:p>
            <w:r>
              <w:t>1.5.2_2026-09-30</w:t>
            </w:r>
          </w:p>
        </w:tc>
      </w:tr>
    </w:tbl>
    <w:p>
      <w:pPr>
        <w:spacing w:after="0"/>
      </w:pPr>
    </w:p>
    <w:p>
      <w:r>
        <w:t xml:space="preserve">Polityka Prywatności 1.5.2 z 30 września 2026 r. wyjaśnia, jakie dane IntegrityPhase przetwarza podczas automatycznego onboardingu osób prawnych, obsługi Delegacji, korzystania z Usługi i rozliczeń x402 w EURC. Określa cele i podstawy przetwarzania, odbiorców danych, okresy przechowywania oraz prawa osób, których dane dotyczą.</w:t>
      </w:r>
    </w:p>
    <w:p>
      <w:pPr>
        <w:pStyle w:val="Nagwek1"/>
      </w:pPr>
      <w:r>
        <w:rPr>
          <w:rFonts w:eastAsia="Calibri"/>
          <w:lang w:val="pl-PL"/>
        </w:rPr>
        <w:t>1. Administrator i kontakt</w:t>
      </w:r>
    </w:p>
    <w:p>
      <w:pPr>
        <w:keepLines/>
        <w:numPr>
          <w:ilvl w:val="0"/>
          <w:numId w:val="10"/>
        </w:numPr>
        <w:rPr>
          <w:lang w:val="pl-PL"/>
        </w:rPr>
      </w:pPr>
      <w:r>
        <w:rPr>
          <w:rFonts w:eastAsia="Calibri"/>
          <w:color w:val="000000"/>
          <w:lang w:val="pl-PL"/>
        </w:rPr>
        <w:t>Administratorem danych osobowych jest Marcin Podskarbi, prowadzący działalność gospodarczą pod firmą Marcin Podskarbi Prototype 1/2 Lab, NIP 6222767998, REGON 545123210, adres: Rolna 18A, 62-002 Suchy Las, dalej „Administrator”.</w:t>
      </w:r>
    </w:p>
    <w:p>
      <w:pPr>
        <w:keepLines/>
        <w:numPr>
          <w:ilvl w:val="0"/>
          <w:numId w:val="10"/>
        </w:numPr>
        <w:rPr>
          <w:lang w:val="pl-PL"/>
        </w:rPr>
      </w:pPr>
      <w:r>
        <w:rPr>
          <w:rFonts w:eastAsia="Calibri"/>
          <w:color w:val="000000"/>
          <w:lang w:val="pl-PL"/>
        </w:rPr>
        <w:t>Kontakt ogólny z Administratorem odbywa się pod adresem contact@integrityphase.com.</w:t>
      </w:r>
    </w:p>
    <w:p>
      <w:pPr>
        <w:keepLines/>
        <w:numPr>
          <w:ilvl w:val="0"/>
          <w:numId w:val="10"/>
        </w:numPr>
        <w:rPr>
          <w:lang w:val="pl-PL"/>
        </w:rPr>
      </w:pPr>
      <w:r>
        <w:rPr>
          <w:rFonts w:eastAsia="Calibri"/>
          <w:color w:val="000000"/>
          <w:lang w:val="pl-PL"/>
        </w:rPr>
        <w:t>Kontakt dotyczący prywatności i realizacji praw odbywa się pod adresem privacy@integrityphase.com.</w:t>
      </w:r>
    </w:p>
    <w:p>
      <w:pPr>
        <w:keepLines/>
        <w:numPr>
          <w:ilvl w:val="0"/>
          <w:numId w:val="10"/>
        </w:numPr>
        <w:rPr>
          <w:lang w:val="pl-PL"/>
        </w:rPr>
      </w:pPr>
      <w:r>
        <w:rPr>
          <w:rFonts w:eastAsia="Calibri"/>
          <w:color w:val="000000"/>
          <w:lang w:val="pl-PL"/>
        </w:rPr>
        <w:t>Kontakt dotyczący wsparcia i reklamacji odbywa się pod adresem support@integrityphase.com.</w:t>
      </w:r>
    </w:p>
    <w:p>
      <w:pPr>
        <w:keepLines/>
        <w:numPr>
          <w:ilvl w:val="0"/>
          <w:numId w:val="10"/>
        </w:numPr>
        <w:rPr>
          <w:lang w:val="pl-PL"/>
        </w:rPr>
      </w:pPr>
      <w:r>
        <w:rPr>
          <w:rFonts w:eastAsia="Calibri"/>
          <w:color w:val="000000"/>
          <w:lang w:val="pl-PL"/>
        </w:rPr>
        <w:t>Administrator nie wyznaczył Inspektora Ochrony Danych. Kontakt w sprawach ochrony danych odbywa się pod adresem privacy@integrityphase.com. Administrator dokumentuje i okresowo ponawia ocenę przesłanek obowiązkowego wyznaczenia Inspektora, w szczególności po zmianie zakresu, charakteru albo skali przetwarzania.</w:t>
      </w:r>
    </w:p>
    <w:p>
      <w:pPr>
        <w:pStyle w:val="Nagwek1"/>
      </w:pPr>
      <w:r>
        <w:rPr>
          <w:rFonts w:eastAsia="Calibri"/>
          <w:lang w:val="pl-PL"/>
        </w:rPr>
        <w:t>2. Zakres Polityki i role stron</w:t>
      </w:r>
    </w:p>
    <w:p>
      <w:pPr>
        <w:keepLines/>
        <w:numPr>
          <w:ilvl w:val="0"/>
          <w:numId w:val="11"/>
        </w:numPr>
        <w:rPr>
          <w:lang w:val="pl-PL"/>
        </w:rPr>
      </w:pPr>
      <w:r>
        <w:t>Polityka dotyczy danych przetwarzanych przy kontakcie, automatycznym onboardingu osoby prawnej, walidacji Delegacji, zawarciu i wykonywaniu umowy, korzystaniu przez Agenta z POST /verify/webhook-integrity, płatnościach x402, fakturowaniu, wsparciu, bezpieczeństwie i reklamacjach. Wynik jest technicznym dowodem wykonania kontroli i nie potwierdza prawdziwości zdarzenia, umocowania ponad zwalidowane dowody ani skutku prawnego.</w:t>
      </w:r>
    </w:p>
    <w:p>
      <w:pPr>
        <w:keepLines/>
        <w:numPr>
          <w:ilvl w:val="0"/>
          <w:numId w:val="11"/>
        </w:numPr>
        <w:rPr>
          <w:lang w:val="pl-PL"/>
        </w:rPr>
      </w:pPr>
      <w:r>
        <w:t>Administrator działa jako administrator danych dotyczących Klienta będącego osobą prawną, jego przedstawicieli, wystawcy Delegacji, Agenta, Walleta, kontaktów, danych fakturowych, rozliczeniowych, akceptacji dokumentów, bezpieczeństwa Usługi i obsługi relacji B2B.</w:t>
      </w:r>
    </w:p>
    <w:p>
      <w:pPr>
        <w:keepLines/>
        <w:numPr>
          <w:ilvl w:val="0"/>
          <w:numId w:val="11"/>
        </w:numPr>
        <w:rPr>
          <w:lang w:val="pl-PL"/>
        </w:rPr>
      </w:pPr>
      <w:r>
        <w:rPr>
          <w:rFonts w:eastAsia="Calibri"/>
          <w:color w:val="000000"/>
          <w:lang w:val="pl-PL"/>
        </w:rPr>
        <w:t>Jeżeli Klient przekazuje w Żądaniu API dane osobowe osób trzecich, a IntegrityPhase przetwarza je wyłącznie w imieniu i zgodnie z instrukcjami Klienta, Klient pozostaje administratorem tych danych, a Administrator działa jako podmiot przetwarzający na zasadach DPA.</w:t>
      </w:r>
    </w:p>
    <w:p>
      <w:pPr>
        <w:keepLines/>
        <w:numPr>
          <w:ilvl w:val="0"/>
          <w:numId w:val="11"/>
        </w:numPr>
        <w:rPr>
          <w:lang w:val="pl-PL"/>
        </w:rPr>
      </w:pPr>
      <w:r>
        <w:t>Dane onboardingowe przekazuje Agent działający za osobę prawną na podstawie podpisanej wcześniej ogólnej Delegacji. Onboarding jest maszynowy i automatycznie sprawdza firmę, Delegację, Agenta, Wallet, limity, dokumenty i VIES. Administrator nie zatwierdza ręcznie normalnych Operacji.</w:t>
      </w:r>
    </w:p>
    <w:p>
      <w:pPr>
        <w:keepLines/>
        <w:numPr>
          <w:ilvl w:val="0"/>
          <w:numId w:val="11"/>
        </w:numPr>
        <w:rPr>
          <w:lang w:val="pl-PL"/>
        </w:rPr>
      </w:pPr>
      <w:r>
        <w:t>Klient korzysta z API przez Agenta i Buyer Binding ograniczone ważną Delegacją. Dashboard Operatora jest zawsze prywatny, tylko do odczytu i nie jest publikowany ani udostępniany Klientom. Decyzje operacyjne i finansowe wymagają osobnych chronionych narzędzi; dashboard sam ich nie wykonuje.</w:t>
      </w:r>
    </w:p>
    <w:p>
      <w:pPr>
        <w:pStyle w:val="Nagwek1"/>
      </w:pPr>
      <w:r>
        <w:rPr>
          <w:rFonts w:eastAsia="Calibri"/>
          <w:lang w:val="pl-PL"/>
        </w:rPr>
        <w:lastRenderedPageBreak/>
        <w:t>3. Kategorie danych</w:t>
      </w:r>
    </w:p>
    <w:p>
      <w:pPr>
        <w:keepLines/>
        <w:numPr>
          <w:ilvl w:val="0"/>
          <w:numId w:val="12"/>
        </w:numPr>
        <w:rPr>
          <w:lang w:val="pl-PL"/>
        </w:rPr>
      </w:pPr>
      <w:r>
        <w:rPr>
          <w:rFonts w:eastAsia="Calibri"/>
          <w:color w:val="000000"/>
          <w:lang w:val="pl-PL"/>
        </w:rPr>
        <w:t>W roli administratora danych Administrator może przetwarzać:</w:t>
      </w:r>
    </w:p>
    <w:p>
      <w:pPr>
        <w:keepLines/>
        <w:numPr>
          <w:ilvl w:val="0"/>
          <w:numId w:val="13"/>
        </w:numPr>
        <w:spacing w:after="60"/>
        <w:rPr>
          <w:lang w:val="pl-PL"/>
        </w:rPr>
      </w:pPr>
      <w:r>
        <w:t>dane osób fizycznych reprezentujących Klienta będącego osobą prawną albo wskazanych do kontaktu i fakturowania; dane samej osoby prawnej są danymi osobowymi tylko w zakresie, w jakim identyfikują osobę fizyczną; osoby fizyczne i JDG nie są klientami pilota;</w:t>
      </w:r>
    </w:p>
    <w:p>
      <w:pPr>
        <w:keepLines/>
        <w:numPr>
          <w:ilvl w:val="0"/>
          <w:numId w:val="13"/>
        </w:numPr>
        <w:spacing w:after="60"/>
        <w:rPr>
          <w:rFonts w:eastAsia="Calibri"/>
          <w:color w:val="000000"/>
          <w:lang w:val="pl-PL"/>
        </w:rPr>
      </w:pPr>
      <w:r>
        <w:t>dane wskazane w pakiecie jako dane wystawcy i podstawa upoważnienia, identyfikator, wersję i hash Delegacji, treść podpisanego oświadczenia o upoważnieniu, podpis, publiczny klucz lub fingerprint, Wallet, dozwolone działania, limity, ważność i stan odwołania. W profilu deklarowanym nie pobiera się PESEL reprezentanta ani jego kwalifikowanego certyfikatu w celu potwierdzenia umocowania;</w:t>
      </w:r>
    </w:p>
    <w:p>
      <w:pPr>
        <w:keepLines/>
        <w:numPr>
          <w:ilvl w:val="0"/>
          <w:numId w:val="13"/>
        </w:numPr>
        <w:spacing w:after="60"/>
        <w:rPr>
          <w:rFonts w:eastAsia="Calibri"/>
          <w:color w:val="000000"/>
          <w:lang w:val="pl-PL"/>
        </w:rPr>
      </w:pPr>
      <w:r>
        <w:rPr>
          <w:rFonts w:eastAsia="Calibri"/>
          <w:color w:val="000000"/>
          <w:lang w:val="pl-PL"/>
        </w:rPr>
        <w:t>dane kontaktu przekazane w korespondencji lub zgłoszeniu wsparcia, w tym służbowy adres e-mail i treść sprawy; aktualny formularz API nie zawiera odrębnego pola e-mail do obsługi konta;</w:t>
      </w:r>
    </w:p>
    <w:p>
      <w:pPr>
        <w:keepLines/>
        <w:numPr>
          <w:ilvl w:val="0"/>
          <w:numId w:val="13"/>
        </w:numPr>
        <w:spacing w:after="60"/>
        <w:rPr>
          <w:lang w:val="pl-PL"/>
        </w:rPr>
      </w:pPr>
      <w:r>
        <w:rPr>
          <w:rFonts w:eastAsia="Calibri"/>
          <w:color w:val="000000"/>
          <w:lang w:val="pl-PL"/>
        </w:rPr>
        <w:t>invoice_email – adres e-mail do spraw fakturowych przekazywany w danych firmy podczas onboardingu; nie jest to odrębne pole kontaktu operacyjnego;</w:t>
      </w:r>
    </w:p>
    <w:p>
      <w:pPr>
        <w:keepLines/>
        <w:numPr>
          <w:ilvl w:val="0"/>
          <w:numId w:val="13"/>
        </w:numPr>
        <w:spacing w:after="60"/>
        <w:rPr>
          <w:lang w:val="pl-PL"/>
        </w:rPr>
      </w:pPr>
      <w:r>
        <w:t>dane onboardingu i zgodności, w tym entity_type=legal_person, kraj, rejestr, numer rejestrowy, NIP/VAT ID, adres, deklarację dotyczącą danych osobowych, dowód statusu osoby prawnej, aktualny wynik VIES oraz zakres webhook_integrity.v1;</w:t>
      </w:r>
    </w:p>
    <w:p>
      <w:pPr>
        <w:keepLines/>
        <w:numPr>
          <w:ilvl w:val="0"/>
          <w:numId w:val="13"/>
        </w:numPr>
        <w:spacing w:after="60"/>
        <w:rPr>
          <w:lang w:val="pl-PL"/>
        </w:rPr>
      </w:pPr>
      <w:r>
        <w:t>dane akceptacji, w tym wersje i hashe Terms/Privacy/DPA, datę, czas, kanał Bazaar/MCP, Klienta, Delegację, Agenta, Wallet, ofertę i wynik walidacji;</w:t>
      </w:r>
    </w:p>
    <w:p>
      <w:pPr>
        <w:keepLines/>
        <w:numPr>
          <w:ilvl w:val="0"/>
          <w:numId w:val="13"/>
        </w:numPr>
        <w:spacing w:after="60"/>
        <w:rPr>
          <w:lang w:val="pl-PL"/>
        </w:rPr>
      </w:pPr>
      <w:r>
        <w:t>dane techniczne i bezpieczeństwa, w tym identyfikatory Klienta, Delegacji, Agenta, Walleta i Buyer Bindingu bez kluczy prywatnych, zakres, limity, aktywację, odwołanie i zdarzenia bezpieczeństwa;</w:t>
      </w:r>
    </w:p>
    <w:p>
      <w:pPr>
        <w:keepLines/>
        <w:numPr>
          <w:ilvl w:val="0"/>
          <w:numId w:val="13"/>
        </w:numPr>
        <w:spacing w:after="60"/>
        <w:rPr>
          <w:lang w:val="pl-PL"/>
        </w:rPr>
      </w:pPr>
      <w:proofErr w:type="spellStart"/>
      <w:proofErr w:type="spellEnd"/>
      <w:proofErr w:type="spellStart"/>
      <w:proofErr w:type="spellEnd"/>
      <w:proofErr w:type="spellStart"/>
      <w:proofErr w:type="spellEnd"/>
      <w:proofErr w:type="spellStart"/>
      <w:proofErr w:type="spellEnd"/>
      <w:proofErr w:type="spellStart"/>
      <w:proofErr w:type="spellEnd"/>
      <w:r>
        <w:rPr>
          <w:rFonts w:eastAsia="Calibri"/>
          <w:color w:val="000000"/>
          <w:lang w:val="pl-PL"/>
        </w:rPr>
        <w:t>dane operacyjne i audytowe, w tym request ID, response ID, operation ID, endpoint POST /verify/webhook-integrity, identyfikator webhook_integrity.v1, status, znacznik czasu, wersję polityki, identyfikatory techniczne oraz hash albo fingerprint Payloadu;</w:t>
      </w:r>
    </w:p>
    <w:p>
      <w:pPr>
        <w:keepLines/>
        <w:numPr>
          <w:ilvl w:val="0"/>
          <w:numId w:val="13"/>
        </w:numPr>
        <w:spacing w:after="60"/>
        <w:rPr>
          <w:rFonts w:eastAsia="Calibri"/>
          <w:color w:val="000000"/>
          <w:lang w:val="pl-PL"/>
        </w:rPr>
      </w:pPr>
      <w:r>
        <w:t>dane rozliczeniowe, w tym payment ID, payer, pay_to, nazwę i URL facilitatora, Circle EURC, Base eip155:8453, kontrakt 0x60a3E35Cc302bFA44Cb288Bc5a4F316Fdb1adb42, kwotę i atomic amount, kursy, transaction hash, settled_at, status settlementu, korektę albo zwrot;</w:t>
      </w:r>
    </w:p>
    <w:p>
      <w:pPr>
        <w:numPr>
          <w:ilvl w:val="0"/>
          <w:numId w:val="13"/>
        </w:numPr>
      </w:pPr>
      <w:r>
        <w:t>dane fakturowe i KSeF: numer faktury, hash FA(3), referencję wysyłki, status i numer KSeF, hash i referencję UPO oraz — dla zagranicznego Klienta — czytelną fakturę HTML, właściwy QR, odnośnik, kanał i dowód doręczenia;</w:t>
      </w:r>
    </w:p>
    <w:p>
      <w:pPr>
        <w:keepLines/>
        <w:numPr>
          <w:ilvl w:val="0"/>
          <w:numId w:val="13"/>
        </w:numPr>
        <w:spacing w:after="60"/>
        <w:rPr>
          <w:lang w:val="pl-PL"/>
        </w:rPr>
      </w:pPr>
      <w:proofErr w:type="spellStart"/>
      <w:proofErr w:type="spellEnd"/>
      <w:r>
        <w:rPr>
          <w:rFonts w:eastAsia="Calibri"/>
          <w:color w:val="000000"/>
          <w:lang w:val="pl-PL"/>
        </w:rPr>
        <w:t>Wartość referencyjną zdarzenia zadeklarowaną przez Klienta, jeżeli jest powiązana z Operacją; jest ona wyłącznie parametrem bezpieczeństwa i dopuszczalności Operacji, nie wpływa na stałą cenę 20 EUR netto i nie jest kwotą ani aktywem przyjmowanym, przechowywanym, przekazywanym lub rozliczanym przez Administratora w imieniu Klienta albo osoby trzeciej;</w:t>
      </w:r>
    </w:p>
    <w:p>
      <w:pPr>
        <w:keepLines/>
        <w:numPr>
          <w:ilvl w:val="0"/>
          <w:numId w:val="13"/>
        </w:numPr>
        <w:spacing w:after="60"/>
        <w:rPr>
          <w:lang w:val="pl-PL"/>
        </w:rPr>
      </w:pPr>
      <w:r>
        <w:rPr>
          <w:rFonts w:eastAsia="Calibri"/>
          <w:color w:val="000000"/>
          <w:lang w:val="pl-PL"/>
        </w:rPr>
        <w:t>dane korespondencji, zgłoszeń wsparcia, reklamacji i incydentów;</w:t>
      </w:r>
    </w:p>
    <w:p>
      <w:pPr>
        <w:keepLines/>
        <w:numPr>
          <w:ilvl w:val="0"/>
          <w:numId w:val="13"/>
        </w:numPr>
        <w:spacing w:after="60"/>
        <w:rPr>
          <w:lang w:val="pl-PL"/>
        </w:rPr>
      </w:pPr>
      <w:r>
        <w:rPr>
          <w:rFonts w:eastAsia="Calibri"/>
          <w:color w:val="000000"/>
          <w:lang w:val="pl-PL"/>
        </w:rPr>
        <w:t xml:space="preserve">podstawowe dane techniczne połączenia, w tym adres IP, user-agent oraz logi bezpieczeństwa, jeżeli ich przetwarzanie jest niezbędne do ochrony </w:t>
      </w:r>
      <w:r>
        <w:rPr>
          <w:rFonts w:eastAsia="Calibri"/>
          <w:color w:val="000000"/>
          <w:lang w:val="pl-PL"/>
        </w:rPr>
        <w:t>Usługi</w:t>
      </w:r>
      <w:r>
        <w:rPr>
          <w:rStyle w:val="Odwoaniedokomentarza"/>
        </w:rPr>
      </w:r>
      <w:r>
        <w:rPr>
          <w:rFonts w:eastAsia="Calibri"/>
          <w:color w:val="000000"/>
          <w:lang w:val="pl-PL"/>
        </w:rPr>
        <w:t>.</w:t>
      </w:r>
    </w:p>
    <w:p>
      <w:pPr>
        <w:keepLines/>
        <w:numPr>
          <w:ilvl w:val="0"/>
          <w:numId w:val="12"/>
        </w:numPr>
        <w:rPr>
          <w:lang w:val="pl-PL"/>
        </w:rPr>
      </w:pPr>
      <w:r>
        <w:rPr>
          <w:rFonts w:eastAsia="Calibri"/>
          <w:color w:val="000000"/>
          <w:lang w:val="pl-PL"/>
        </w:rPr>
        <w:t xml:space="preserve">Dane techniczne, identyfikatory, </w:t>
      </w:r>
      <w:proofErr w:type="spellStart"/>
      <w:r>
        <w:rPr>
          <w:rFonts w:eastAsia="Calibri"/>
          <w:color w:val="000000"/>
          <w:lang w:val="pl-PL"/>
        </w:rPr>
        <w:t>hashe</w:t>
      </w:r>
      <w:proofErr w:type="spellEnd"/>
      <w:r>
        <w:rPr>
          <w:rFonts w:eastAsia="Calibri"/>
          <w:color w:val="000000"/>
          <w:lang w:val="pl-PL"/>
        </w:rPr>
        <w:t xml:space="preserve"> i </w:t>
      </w:r>
      <w:proofErr w:type="spellStart"/>
      <w:r>
        <w:rPr>
          <w:rFonts w:eastAsia="Calibri"/>
          <w:color w:val="000000"/>
          <w:lang w:val="pl-PL"/>
        </w:rPr>
        <w:t>metadane</w:t>
      </w:r>
      <w:proofErr w:type="spellEnd"/>
      <w:r>
        <w:rPr>
          <w:rFonts w:eastAsia="Calibri"/>
          <w:color w:val="000000"/>
          <w:lang w:val="pl-PL"/>
        </w:rPr>
        <w:t xml:space="preserve"> mogą stanowić dane osobowe, jeżeli umożliwiają bezpośrednie albo pośrednie powiązanie z osobą fizyczną.</w:t>
      </w:r>
    </w:p>
    <w:p>
      <w:pPr>
        <w:keepLines/>
        <w:numPr>
          <w:ilvl w:val="0"/>
          <w:numId w:val="12"/>
        </w:numPr>
      </w:pPr>
      <w:proofErr w:type="spellStart"/>
      <w:proofErr w:type="spellEnd"/>
      <w:r>
        <w:rPr>
          <w:rFonts w:eastAsia="Calibri"/>
          <w:color w:val="000000"/>
          <w:lang w:val="pl-PL"/>
        </w:rPr>
        <w:t>Payload może zawierać identyfikator zdarzenia, źródła lub systemu, timestamp, nonce, hash, fingerprint oraz inne minimalne dane procesowe niezbędne do technicznego sprawdzenia integralności webhooka. Klient powinien przekazywać wyłącznie zakres niezbędny do wykonania Operacji.</w:t>
      </w:r>
    </w:p>
    <w:p>
      <w:pPr>
        <w:keepLines/>
        <w:numPr>
          <w:ilvl w:val="0"/>
          <w:numId w:val="12"/>
        </w:numPr>
        <w:rPr>
          <w:lang w:val="pl-PL"/>
        </w:rPr>
      </w:pPr>
      <w:r>
        <w:rPr>
          <w:rFonts w:eastAsia="Calibri"/>
          <w:color w:val="000000"/>
          <w:lang w:val="pl-PL"/>
        </w:rPr>
        <w:t>Payload nie może zawierać szczególnych kategorii danych osobowych, danych o wyrokach i czynach zabronionych, danych dzieci, danych medycznych, haseł, kluczy prywatnych, seed phrase, surowych API keys, surowych podpisów płatności, złośliwego kodu ani danych przetwarzanych bez podstawy prawnej. Podpis x402 przekazany wyłącznie w przeznaczonym do tego nagłówku protokołu jest przetwarzany przejściowo w celu weryfikacji i settlementu i nie jest domyślnie zapisywany w logach ani śladzie audytowym.</w:t>
      </w:r>
    </w:p>
    <w:p>
      <w:pPr>
        <w:pStyle w:val="Nagwek1"/>
      </w:pPr>
      <w:r>
        <w:rPr>
          <w:rFonts w:eastAsia="Calibri"/>
          <w:lang w:val="pl-PL"/>
        </w:rPr>
        <w:t>4. Cele i podstawy przetwarzania</w:t>
      </w:r>
    </w:p>
    <w:tbl>
      <w:tblPr>
        <w:tblW w:w="9412" w:type="dxa"/>
        <w:tblInd w:w="120" w:type="dxa"/>
        <w:tblBorders>
          <w:top w:val="single" w:sz="5" w:space="0" w:color="C9D2DD"/>
          <w:left w:val="single" w:sz="5" w:space="0" w:color="C9D2DD"/>
          <w:bottom w:val="single" w:sz="5" w:space="0" w:color="C9D2DD"/>
          <w:right w:val="single" w:sz="5" w:space="0" w:color="C9D2DD"/>
          <w:insideH w:val="single" w:sz="5" w:space="0" w:color="C9D2DD"/>
          <w:insideV w:val="single" w:sz="5" w:space="0" w:color="C9D2DD"/>
        </w:tblBorders>
        <w:tblLayout w:type="fixed"/>
        <w:tblLook w:val="04A0"/>
      </w:tblPr>
      <w:tblGrid>
        <w:gridCol w:w="2050"/>
        <w:gridCol w:w="3400"/>
        <w:gridCol w:w="3962"/>
      </w:tblGrid>
      <w:tr>
        <w:trPr>
          <w:tblHeader/>
          <w:cantSplit/>
        </w:trPr>
        <w:tc>
          <w:tcPr>
            <w:tcW w:w="2050"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Cel</w:t>
            </w:r>
          </w:p>
        </w:tc>
        <w:tc>
          <w:tcPr>
            <w:tcW w:w="3400"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Kategorie danych</w:t>
            </w:r>
          </w:p>
        </w:tc>
        <w:tc>
          <w:tcPr>
            <w:tcW w:w="3962"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 xml:space="preserve">Podstawa </w:t>
            </w:r>
            <w:r>
              <w:rPr>
                <w:rFonts w:eastAsia="Calibri"/>
                <w:b/>
                <w:color w:val="000000"/>
                <w:sz w:val="18"/>
                <w:lang w:val="pl-PL"/>
              </w:rPr>
              <w:t>prawna</w:t>
            </w:r>
            <w:r>
              <w:rPr>
                <w:rStyle w:val="Odwoaniedokomentarza"/>
              </w:rPr>
            </w:r>
          </w:p>
        </w:tc>
      </w:tr>
      <w:tr>
        <w:tc>
          <w:tcPr>
            <w:tcW w:w="2050" w:type="dxa"/>
            <w:tcMar>
              <w:top w:w="90" w:type="dxa"/>
              <w:left w:w="120" w:type="dxa"/>
              <w:bottom w:w="90" w:type="dxa"/>
              <w:right w:w="120" w:type="dxa"/>
            </w:tcMar>
            <w:vAlign w:val="center"/>
          </w:tcPr>
          <w:p>
            <w:r>
              <w:t>Automatyczny onboarding osoby prawnej i zawarcie relacji B2B</w:t>
            </w:r>
          </w:p>
        </w:tc>
        <w:tc>
          <w:tcPr>
            <w:tcW w:w="3400" w:type="dxa"/>
            <w:tcMar>
              <w:top w:w="90" w:type="dxa"/>
              <w:left w:w="120" w:type="dxa"/>
              <w:bottom w:w="90" w:type="dxa"/>
              <w:right w:w="120" w:type="dxa"/>
            </w:tcMar>
            <w:vAlign w:val="center"/>
          </w:tcPr>
          <w:p>
            <w:r>
              <w:t>dane firmy, przedstawicieli, kontaktów, faktury, Agenta, Walleta i Buyer Bindingu</w:t>
            </w:r>
          </w:p>
        </w:tc>
        <w:tc>
          <w:tcPr>
            <w:tcW w:w="3962" w:type="dxa"/>
            <w:tcMar>
              <w:top w:w="90" w:type="dxa"/>
              <w:left w:w="120" w:type="dxa"/>
              <w:bottom w:w="90" w:type="dxa"/>
              <w:right w:w="120" w:type="dxa"/>
            </w:tcMar>
            <w:vAlign w:val="center"/>
          </w:tcPr>
          <w:p>
            <w:pPr>
              <w:spacing w:after="0" w:line="252" w:lineRule="auto"/>
              <w:rPr>
                <w:lang w:val="pl-PL"/>
              </w:rPr>
            </w:pPr>
            <w:r>
              <w:rPr>
                <w:lang w:val="pl-PL"/>
              </w:rPr>
              <w:t xml:space="preserve">art. 6 ust. 1 lit. f RODO — nawiązanie i obsługa relacji z firmą, identyfikacja jej kontaktów oraz zapobieganie podszyciu się</w:t>
            </w:r>
          </w:p>
        </w:tc>
        <w:trPr>
          <w:cantSplit/>
        </w:trPr>
      </w:tr>
      <w:tr>
        <w:tc>
          <w:tcPr>
            <w:tcW w:w="2050" w:type="dxa"/>
            <w:shd w:val="clear" w:color="auto" w:fill="FAFBFC"/>
            <w:tcMar>
              <w:top w:w="90" w:type="dxa"/>
              <w:left w:w="120" w:type="dxa"/>
              <w:bottom w:w="90" w:type="dxa"/>
              <w:right w:w="120" w:type="dxa"/>
            </w:tcMar>
            <w:vAlign w:val="center"/>
          </w:tcPr>
          <w:p>
            <w:r>
              <w:t xml:space="preserve">Walidacja firmy, Delegacji, limitów, podpisu i statusu VAT</w:t>
            </w:r>
          </w:p>
        </w:tc>
        <w:tc>
          <w:tcPr>
            <w:tcW w:w="3400" w:type="dxa"/>
            <w:shd w:val="clear" w:color="auto" w:fill="FAFBFC"/>
            <w:tcMar>
              <w:top w:w="90" w:type="dxa"/>
              <w:left w:w="120" w:type="dxa"/>
              <w:bottom w:w="90" w:type="dxa"/>
              <w:right w:w="120" w:type="dxa"/>
            </w:tcMar>
            <w:vAlign w:val="center"/>
          </w:tcPr>
          <w:p>
            <w:r>
              <w:t>dane rejestrowe, Delegacja, wystawca, Agent, klucz/fingerprint, Wallet, zakres, limity, ważność, odwołanie i VIES</w:t>
            </w:r>
          </w:p>
        </w:tc>
        <w:tc>
          <w:tcPr>
            <w:tcW w:w="39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art. 6 ust. 1 lit. f RODO — kontrola dostępu, zakresu i bezpieczeństwa; lit. c — podatkowa weryfikacja kontrahenta i VAT na podstawie ustawy o VAT</w:t>
            </w:r>
          </w:p>
        </w:tc>
        <w:trPr>
          <w:cantSplit/>
        </w:trPr>
      </w:tr>
      <w:tr>
        <w:tc>
          <w:tcPr>
            <w:tcW w:w="2050" w:type="dxa"/>
            <w:tcMar>
              <w:top w:w="90" w:type="dxa"/>
              <w:left w:w="120" w:type="dxa"/>
              <w:bottom w:w="90" w:type="dxa"/>
              <w:right w:w="120" w:type="dxa"/>
            </w:tcMar>
            <w:vAlign w:val="center"/>
          </w:tcPr>
          <w:p>
            <w:r>
              <w:t>Zawarcie i wykonywanie umowy przez Agenta w granicach Delegacji</w:t>
            </w:r>
          </w:p>
        </w:tc>
        <w:tc>
          <w:tcPr>
            <w:tcW w:w="3400" w:type="dxa"/>
            <w:tcMar>
              <w:top w:w="90" w:type="dxa"/>
              <w:left w:w="120" w:type="dxa"/>
              <w:bottom w:w="90" w:type="dxa"/>
              <w:right w:w="120" w:type="dxa"/>
            </w:tcMar>
            <w:vAlign w:val="center"/>
          </w:tcPr>
          <w:p>
            <w:r>
              <w:t>Klient, Delegacja, Agent, Wallet, Buyer Binding, wersje i hashe dokumentów oraz oferta</w:t>
            </w:r>
          </w:p>
        </w:tc>
        <w:tc>
          <w:tcPr>
            <w:tcW w:w="3962" w:type="dxa"/>
            <w:tcMar>
              <w:top w:w="90" w:type="dxa"/>
              <w:left w:w="120" w:type="dxa"/>
              <w:bottom w:w="90" w:type="dxa"/>
              <w:right w:w="120" w:type="dxa"/>
            </w:tcMar>
            <w:vAlign w:val="center"/>
          </w:tcPr>
          <w:p>
            <w:pPr>
              <w:spacing w:after="0" w:line="252" w:lineRule="auto"/>
              <w:rPr>
                <w:lang w:val="pl-PL"/>
              </w:rPr>
            </w:pPr>
            <w:r>
              <w:rPr>
                <w:lang w:val="pl-PL"/>
              </w:rPr>
              <w:t xml:space="preserve">art. 6 ust. 1 lit. f RODO — wykonywanie umowy z firmą oraz wykazanie oświadczeń i ich zakresu</w:t>
            </w:r>
          </w:p>
        </w:tc>
        <w:trPr>
          <w:cantSplit/>
        </w:trPr>
      </w:tr>
      <w:tr>
        <w:tc>
          <w:tcPr>
            <w:tcW w:w="205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Wykonanie webhook_integrity.v1 i zwrócenie technicznego proofu/receiptu</w:t>
            </w:r>
          </w:p>
        </w:tc>
        <w:tc>
          <w:tcPr>
            <w:tcW w:w="3400" w:type="dxa"/>
            <w:shd w:val="clear" w:color="auto" w:fill="FAFBFC"/>
            <w:tcMar>
              <w:top w:w="90" w:type="dxa"/>
              <w:left w:w="120" w:type="dxa"/>
              <w:bottom w:w="90" w:type="dxa"/>
              <w:right w:w="120" w:type="dxa"/>
            </w:tcMar>
            <w:vAlign w:val="center"/>
          </w:tcPr>
          <w:p>
            <w:pPr>
              <w:spacing w:after="0" w:line="252" w:lineRule="auto"/>
              <w:rPr>
                <w:lang w:val="pl-PL"/>
              </w:rPr>
            </w:pPr>
            <w:proofErr w:type="spellStart"/>
            <w:proofErr w:type="spellEnd"/>
            <w:r>
              <w:rPr>
                <w:rFonts w:eastAsia="Calibri"/>
                <w:color w:val="000000"/>
                <w:sz w:val="18"/>
                <w:lang w:val="pl-PL"/>
              </w:rPr>
              <w:t>minimalny Payload, dane operacyjne, identyfikatory, timestampy, hashe i metadane techniczne</w:t>
            </w:r>
          </w:p>
        </w:tc>
        <w:tc>
          <w:tcPr>
            <w:tcW w:w="39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własne metadane Operatora: art. 6 ust. 1 lit. f RODO — wykonanie i udokumentowanie kontroli; dane powierzone: podstawa ustalana przez Klienta, przetwarzanie według art. 28 RODO i DPA</w:t>
            </w:r>
          </w:p>
        </w:tc>
        <w:trPr>
          <w:cantSplit/>
        </w:trPr>
      </w:tr>
      <w:tr>
        <w:tc>
          <w:tcPr>
            <w:tcW w:w="2050" w:type="dxa"/>
            <w:tcMar>
              <w:top w:w="90" w:type="dxa"/>
              <w:left w:w="120" w:type="dxa"/>
              <w:bottom w:w="90" w:type="dxa"/>
              <w:right w:w="120" w:type="dxa"/>
            </w:tcMar>
            <w:vAlign w:val="center"/>
          </w:tcPr>
          <w:p>
            <w:r>
              <w:t>x402 w Circle EURC, faktura, KSeF, UPO, dostarczenie i TaxCoach</w:t>
            </w:r>
          </w:p>
        </w:tc>
        <w:tc>
          <w:tcPr>
            <w:tcW w:w="3400" w:type="dxa"/>
            <w:tcMar>
              <w:top w:w="90" w:type="dxa"/>
              <w:left w:w="120" w:type="dxa"/>
              <w:bottom w:w="90" w:type="dxa"/>
              <w:right w:w="120" w:type="dxa"/>
            </w:tcMar>
            <w:vAlign w:val="center"/>
          </w:tcPr>
          <w:p>
            <w:r>
              <w:t>dane faktury, payer/pay_to, EURC, kontrakt, kwota, facilitator, tx hash, settled_at, kursy, FA(3), numer KSeF, UPO i dowód dostarczenia</w:t>
            </w:r>
          </w:p>
        </w:tc>
        <w:tc>
          <w:tcPr>
            <w:tcW w:w="3962" w:type="dxa"/>
            <w:tcMar>
              <w:top w:w="90" w:type="dxa"/>
              <w:left w:w="120" w:type="dxa"/>
              <w:bottom w:w="90" w:type="dxa"/>
              <w:right w:w="120" w:type="dxa"/>
            </w:tcMar>
            <w:vAlign w:val="center"/>
          </w:tcPr>
          <w:p>
            <w:pPr>
              <w:spacing w:after="0" w:line="252" w:lineRule="auto"/>
              <w:rPr>
                <w:lang w:val="pl-PL"/>
              </w:rPr>
            </w:pPr>
            <w:r>
              <w:rPr>
                <w:lang w:val="pl-PL"/>
              </w:rPr>
              <w:t xml:space="preserve">art. 6 ust. 1 lit. c RODO — obowiązki z ustawy o VAT, PIT i Ordynacji podatkowej; lit. f — techniczna obsługa zapłaty, uzgodnienie i dowód rozliczenia</w:t>
            </w:r>
          </w:p>
        </w:tc>
        <w:trPr>
          <w:cantSplit/>
        </w:trPr>
      </w:tr>
      <w:tr>
        <w:tc>
          <w:tcPr>
            <w:tcW w:w="205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Bezpieczeństwo, zapobieganie nadużyciom i ciągłość działania</w:t>
            </w:r>
          </w:p>
        </w:tc>
        <w:tc>
          <w:tcPr>
            <w:tcW w:w="3400" w:type="dxa"/>
            <w:shd w:val="clear" w:color="auto" w:fill="FAFBFC"/>
            <w:tcMar>
              <w:top w:w="90" w:type="dxa"/>
              <w:left w:w="120" w:type="dxa"/>
              <w:bottom w:w="90" w:type="dxa"/>
              <w:right w:w="120" w:type="dxa"/>
            </w:tcMar>
            <w:vAlign w:val="center"/>
          </w:tcPr>
          <w:p>
            <w:pPr>
              <w:spacing w:after="0" w:line="252" w:lineRule="auto"/>
            </w:pPr>
            <w:proofErr w:type="spellStart"/>
            <w:proofErr w:type="spellEnd"/>
            <w:proofErr w:type="spellStart"/>
            <w:proofErr w:type="spellEnd"/>
            <w:r>
              <w:rPr>
                <w:rFonts w:eastAsia="Calibri"/>
                <w:color w:val="000000"/>
                <w:sz w:val="18"/>
                <w:lang w:val="pl-PL"/>
              </w:rPr>
              <w:t>dane Credentialu, logi, IP, user-agent, identyfikatory, hashe i zdarzenia</w:t>
            </w:r>
          </w:p>
        </w:tc>
        <w:tc>
          <w:tcPr>
            <w:tcW w:w="39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art. 6 ust. 1 lit. f RODO — ochrona API, danych i środków przed nadużyciem oraz odtworzenie bezpiecznego działania</w:t>
            </w:r>
          </w:p>
        </w:tc>
        <w:trPr>
          <w:cantSplit/>
        </w:trPr>
      </w:tr>
      <w:tr>
        <w:tc>
          <w:tcPr>
            <w:tcW w:w="2050" w:type="dxa"/>
            <w:tcMar>
              <w:top w:w="90" w:type="dxa"/>
              <w:left w:w="120" w:type="dxa"/>
              <w:bottom w:w="90" w:type="dxa"/>
              <w:right w:w="120" w:type="dxa"/>
            </w:tcMar>
            <w:vAlign w:val="center"/>
          </w:tcPr>
          <w:p>
            <w:r>
              <w:t>Ślad Delegacji, akceptacji, Operacji i potencjalnej niekwalifikowanej usługi zaufania</w:t>
            </w:r>
          </w:p>
        </w:tc>
        <w:tc>
          <w:tcPr>
            <w:tcW w:w="3400" w:type="dxa"/>
            <w:tcMar>
              <w:top w:w="90" w:type="dxa"/>
              <w:left w:w="120" w:type="dxa"/>
              <w:bottom w:w="90" w:type="dxa"/>
              <w:right w:w="120" w:type="dxa"/>
            </w:tcMar>
            <w:vAlign w:val="center"/>
          </w:tcPr>
          <w:p>
            <w:r>
              <w:t>wersje i hashe dokumentów, Delegacja, Agent, Wallet, czas, kanał, request/operation ID, proof, ledger i status</w:t>
            </w:r>
          </w:p>
        </w:tc>
        <w:tc>
          <w:tcPr>
            <w:tcW w:w="3962" w:type="dxa"/>
            <w:tcMar>
              <w:top w:w="90" w:type="dxa"/>
              <w:left w:w="120" w:type="dxa"/>
              <w:bottom w:w="90" w:type="dxa"/>
              <w:right w:w="120" w:type="dxa"/>
            </w:tcMar>
            <w:vAlign w:val="center"/>
          </w:tcPr>
          <w:p>
            <w:pPr>
              <w:spacing w:after="0" w:line="252" w:lineRule="auto"/>
              <w:rPr>
                <w:lang w:val="pl-PL"/>
              </w:rPr>
            </w:pPr>
            <w:r>
              <w:rPr>
                <w:lang w:val="pl-PL"/>
              </w:rPr>
              <w:t xml:space="preserve">art. 6 ust. 1 lit. f RODO — rozliczalność czynności, weryfikacja dowodów i ochrona przed konkretnymi roszczeniami</w:t>
            </w:r>
          </w:p>
        </w:tc>
        <w:trPr>
          <w:cantSplit/>
        </w:trPr>
      </w:tr>
      <w:tr>
        <w:tc>
          <w:tcPr>
            <w:tcW w:w="205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Wsparcie, reklamacje, incydenty i roszczenia</w:t>
            </w:r>
          </w:p>
        </w:tc>
        <w:tc>
          <w:tcPr>
            <w:tcW w:w="340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dane kontaktowe, treść zgłoszenia i powiązane identyfikatory bez surowego Payloadu</w:t>
            </w:r>
          </w:p>
        </w:tc>
        <w:tc>
          <w:tcPr>
            <w:tcW w:w="39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art. 6 ust. 1 lit. f RODO — obsługa relacji B2B i roszczeń; lit. c — wymagane prawem zawiadomienia i współpraca z organami, w tym art. 33–34 RODO</w:t>
            </w:r>
          </w:p>
        </w:tc>
        <w:trPr>
          <w:cantSplit/>
        </w:trPr>
      </w:tr>
    </w:tbl>
    <w:p>
      <w:pPr>
        <w:spacing w:after="20"/>
        <w:rPr>
          <w:lang w:val="pl-PL"/>
        </w:rPr>
      </w:pPr>
      <w:r>
        <w:rPr>
          <w:lang w:val="pl-PL"/>
        </w:rPr>
        <w:t xml:space="preserve">Tabela dotyczy wyłącznie danych osobowych. Dane samej osoby prawnej, które nie identyfikują osoby fizycznej, nie wymagają podstawy z art. 6 RODO. Umowa jest zawierana z osobą prawną; art. 6 ust. 1 lit. b RODO nie jest tu podstawą przetwarzania danych jej przedstawiciela lub pracownika. W przypadku danych powierzonych podstawę przetwarzania zapewnia Klient jako administrator. DPA i instrukcja określają warunki powierzenia, nie zastępują podstawy prawnej Klienta.</w:t>
      </w:r>
    </w:p>
    <w:p>
      <w:pPr>
        <w:pStyle w:val="Nagwek1"/>
        <w:rPr>
          <w:lang w:val="pl-PL"/>
        </w:rPr>
      </w:pPr>
      <w:r>
        <w:rPr>
          <w:rFonts w:eastAsia="Calibri"/>
          <w:lang w:val="pl-PL"/>
        </w:rPr>
        <w:t>5. Źródła danych i obowiązek ich podania</w:t>
      </w:r>
    </w:p>
    <w:p>
      <w:pPr>
        <w:keepLines/>
        <w:numPr>
          <w:ilvl w:val="0"/>
          <w:numId w:val="14"/>
        </w:numPr>
        <w:rPr>
          <w:lang w:val="pl-PL"/>
        </w:rPr>
      </w:pPr>
      <w:r>
        <w:t>Dane pochodzą z pakietu przedstawionego w deklarowanym imieniu Klienta przez Agenta lub osobę przygotowującą Delegację, z rejestrów KRS dla Polski i ARES dla Czech, właściwych źródeł VAT MF/VIES, publicznej sieci Base oraz uruchomionych zgodnie z Polityką usług rozliczeniowych. Otrzymanie pakietu nie dowodzi, że firma udzieliła upoważnienia. Źródło i wynik sprawdzenia są zapisywane odrębnie.</w:t>
      </w:r>
    </w:p>
    <w:p>
      <w:pPr>
        <w:keepLines/>
        <w:numPr>
          <w:ilvl w:val="0"/>
          <w:numId w:val="14"/>
        </w:numPr>
        <w:rPr>
          <w:lang w:val="pl-PL"/>
        </w:rPr>
      </w:pPr>
      <w:r>
        <w:rPr>
          <w:rFonts w:eastAsia="Calibri"/>
          <w:color w:val="000000"/>
          <w:lang w:val="pl-PL"/>
        </w:rPr>
        <w:t>Dla Klienta z państwa Unii Europejskiej innego niż Polska przed aktywacją rozliczeń Administrator weryfikuje aktywność numeru VAT-UE w VIES i utrwala aktualny dowód związany z danymi Klienta. Brak ważnego wyniku, wynik negatywny albo niezgodność danych blokują aktywację rozliczeń do czasu uzyskania prawidłowego wyniku; nie stosuje się dokumentu zastępującego VIES.</w:t>
      </w:r>
    </w:p>
    <w:p>
      <w:pPr>
        <w:keepLines/>
        <w:numPr>
          <w:ilvl w:val="0"/>
          <w:numId w:val="14"/>
        </w:numPr>
        <w:rPr>
          <w:lang w:val="pl-PL"/>
        </w:rPr>
      </w:pPr>
      <w:r>
        <w:t>Podanie danych wymaganych jest konieczne do automatycznego onboardingu, walidacji Delegacji, zawarcia Umowy, utworzenia Buyer Bindingu, wykonania Usługi, rozliczenia i KSeF. Brak danych powoduje odmowę przed ofertą, płatnością albo Operacją.</w:t>
      </w:r>
    </w:p>
    <w:p>
      <w:pPr>
        <w:keepLines/>
        <w:numPr>
          <w:ilvl w:val="0"/>
          <w:numId w:val="14"/>
        </w:numPr>
        <w:rPr>
          <w:lang w:val="pl-PL"/>
        </w:rPr>
      </w:pPr>
      <w:r>
        <w:t>Automatyczna kwalifikacja sprawdza dane i dopuszczoną formę prawną firmy, właściwe dane podatkowe, podpisy, kontrolę klucza, spójność Delegacji, zakres, limity, ważność i odwołanie. Upoważnienie do działania za firmę opiera się na podpisanym oświadczeniu; reprezentant ani udzielenie Delegacji przez firmę nie są niezależnie weryfikowani. System nie ocenia cech osobistych człowieka.</w:t>
      </w:r>
    </w:p>
    <w:p>
      <w:pPr>
        <w:keepLines/>
        <w:numPr>
          <w:ilvl w:val="0"/>
          <w:numId w:val="14"/>
        </w:numPr>
        <w:rPr>
          <w:lang w:val="pl-PL"/>
        </w:rPr>
      </w:pPr>
      <w:r>
        <w:t>Automatyczna bramka może odmówić osobie prawnej dostępu do oferty z powodu niespełnienia obiektywnych warunków. Nie ocenia osobistych cech człowieka i nie podejmuje wobec osoby fizycznej decyzji wywołującej skutki prawne lub podobnie istotne skutki.</w:t>
      </w:r>
    </w:p>
    <w:p>
      <w:pPr>
        <w:keepLines/>
        <w:numPr>
          <w:ilvl w:val="0"/>
          <w:numId w:val="14"/>
        </w:numPr>
        <w:rPr>
          <w:lang w:val="pl-PL"/>
        </w:rPr>
      </w:pPr>
      <w:r>
        <w:t>Przedstawiciel Klienta może uzyskać informację o przyczynie odmowy, sprostować dane i przedstawić stanowisko pod privacy@integrityphase.com. Korekta nie pozwala ominąć Delegacji, profilu podpisu, DPA, VIES ani innych bramek.</w:t>
      </w:r>
    </w:p>
    <w:p>
      <w:pPr>
        <w:pStyle w:val="Nagwek1"/>
      </w:pPr>
      <w:r>
        <w:rPr>
          <w:rFonts w:eastAsia="Calibri"/>
          <w:lang w:val="pl-PL"/>
        </w:rPr>
        <w:t>6. Payload, minimalizacja i DPA</w:t>
      </w:r>
    </w:p>
    <w:p>
      <w:pPr>
        <w:keepLines/>
        <w:numPr>
          <w:ilvl w:val="0"/>
          <w:numId w:val="15"/>
        </w:numPr>
        <w:rPr>
          <w:lang w:val="pl-PL"/>
        </w:rPr>
      </w:pPr>
      <w:r>
        <w:rPr>
          <w:lang w:val="pl-PL"/>
        </w:rPr>
        <w:t xml:space="preserve">Automatyczny onboarding nie służy do przekazywania Payloadu, próbek ani danych osób trzecich. Kontrola ważności DPA i Delegacji dotyczy momentu przed odczytem treści przez aplikację. Obejmuje aktualną akceptację dokumentów, zakres, ważność, odwołanie oraz zgodność Klienta, Agenta, Walleta i źródła. Po odebraniu treści system ponawia kontrolę. Sprawdzenie podpisu źródła wymagające treści następuje po jej odczycie; same nagłówki nie uwierzytelniają nadawcy. Bajty mogą wcześniej dotrzeć do infrastruktury sieciowej, systemu operacyjnego i pośrednika HTTP kończącego TLS, opisanego w Polityce Prywatności i DPA.</w:t>
      </w:r>
    </w:p>
    <w:p>
      <w:pPr>
        <w:keepLines/>
        <w:numPr>
          <w:ilvl w:val="0"/>
          <w:numId w:val="15"/>
        </w:numPr>
        <w:rPr>
          <w:lang w:val="pl-PL"/>
        </w:rPr>
      </w:pPr>
      <w:r>
        <w:rPr>
          <w:lang w:val="pl-PL"/>
        </w:rPr>
        <w:t xml:space="preserve">W opisanej konfiguracji surowy Payload nie jest zapisywany w trwałej konfiguracji dopuszczenia Operacji, bazie, logach ani kopiach aplikacji. Zapis dopuszczenia zawiera hashe i wymagane identyfikatory wiążące Żądanie, bez pełnej treści. Surowy Payload jest buforowany przejściowo na czas obsługi Żądania. Po zakończeniu, odrzuceniu, timeoutcie albo błędzie aplikacja zwalnia swoje referencje i zeruje posiadane bufory bajtowe. Zarządzanie pamięcią odpowiada za zwolnienie obiektów i ciągów tekstowych; nie jest to zapewnienie fizycznego wyzerowania całej pamięci procesu lub systemu.</w:t>
      </w:r>
    </w:p>
    <w:p>
      <w:pPr>
        <w:keepLines/>
        <w:numPr>
          <w:ilvl w:val="0"/>
          <w:numId w:val="15"/>
        </w:numPr>
        <w:rPr>
          <w:lang w:val="pl-PL"/>
        </w:rPr>
      </w:pPr>
      <w:r>
        <w:rPr>
          <w:lang w:val="pl-PL"/>
        </w:rPr>
        <w:t xml:space="preserve">Administrator utrzymuje niezbędne identyfikatory, metadane, statusy, hashe i fingerprinty. Mogą one być danymi osobowymi. Wprowadzenie trwałego Payloadu, także na potrzeby incydentu, wymaga wcześniejszego określenia celu, zakresu, retencji i podstawy prawnej, aktualizacji Polityki i DPA oraz poinformowania Klienta przed zmianą.</w:t>
      </w:r>
    </w:p>
    <w:p>
      <w:pPr>
        <w:keepLines/>
        <w:numPr>
          <w:ilvl w:val="0"/>
          <w:numId w:val="15"/>
        </w:numPr>
        <w:rPr>
          <w:lang w:val="pl-PL"/>
        </w:rPr>
      </w:pPr>
      <w:r>
        <w:rPr>
          <w:rFonts w:eastAsia="Calibri"/>
          <w:color w:val="000000"/>
          <w:lang w:val="pl-PL"/>
        </w:rPr>
        <w:t>Klient odpowiada za legalność Payloadu, jego zakres, prawidłowość, zgodność z Dokumentacją API i posiadanie podstawy prawnej do przekazania danych.</w:t>
      </w:r>
    </w:p>
    <w:p>
      <w:pPr>
        <w:keepLines/>
        <w:numPr>
          <w:ilvl w:val="0"/>
          <w:numId w:val="15"/>
        </w:numPr>
        <w:rPr>
          <w:lang w:val="pl-PL"/>
        </w:rPr>
      </w:pPr>
      <w:r>
        <w:rPr>
          <w:lang w:val="pl-PL"/>
        </w:rPr>
        <w:t xml:space="preserve">Agent obowiązkowo akceptuje ramową DPA w każdym automatycznym onboardingu na podstawie ważnej Delegacji z enter_dpa, również przy deklaracji braku danych osobowych w Payloadzie. Powierzenie dotyczy rzeczywistego przetwarzania w imieniu Klienta w granicach instrukcji. Brak, wygaśnięcie, odwołanie lub niespójność DPA albo Delegacji blokują Buyer Binding lub aplikacyjny odczyt Payloadu w granicach opisanych powyżej.</w:t>
      </w:r>
    </w:p>
    <w:p>
      <w:pPr/>
      <w:r>
        <w:t xml:space="preserve">Po zakończeniu powierzenia dane powierzone podlegają usunięciu lub zwrotowi zgodnie z pkt 14 DPA. Odrębnie przechowywane dane rozliczeniowe lub dowodowe mogą pozostać u Operatora jako administratora tylko w niezbędnym zakresie, dla własnego, określonego celu i podstawy prawnej. Obowiązek prawny albo konkretne roszczenie nie uzasadniają automatycznego zachowania całego zbioru powierzonego. Surowego Payloadu nie utrwala się na zapas.</w:t>
      </w:r>
    </w:p>
    <w:p>
      <w:pPr>
        <w:pStyle w:val="Nagwek1"/>
      </w:pPr>
      <w:r>
        <w:rPr>
          <w:rFonts w:eastAsia="Calibri"/>
          <w:lang w:val="pl-PL"/>
        </w:rPr>
        <w:t>7. Odbiorcy danych i podmioty przetwarzające</w:t>
      </w:r>
    </w:p>
    <w:p>
      <w:pPr>
        <w:keepLines/>
        <w:numPr>
          <w:ilvl w:val="0"/>
          <w:numId w:val="16"/>
        </w:numPr>
        <w:rPr>
          <w:lang w:val="pl-PL"/>
        </w:rPr>
      </w:pPr>
      <w:r>
        <w:rPr>
          <w:lang w:val="pl-PL"/>
        </w:rPr>
        <w:t xml:space="preserve">Poniżej wskazano odbiorców, role i granice danych. Podstawą konfiguracji są potwierdzone standardowe warunki Cloudflare, Coinbase Developer Platform i Proton oraz umowa TaxCoach. Korzystanie z dostawcy nie rozszerza celu ani zakresu danych. Mechanizmy transferów i dostęp do zabezpieczeń wskazuje pkt 8.</w:t>
      </w:r>
    </w:p>
    <w:p>
      <w:pPr>
        <w:keepLines/>
        <w:numPr>
          <w:ilvl w:val="0"/>
          <w:numId w:val="17"/>
        </w:numPr>
        <w:spacing w:after="60"/>
      </w:pPr>
      <w:r>
        <w:rPr>
          <w:rFonts w:eastAsia="Calibri"/>
          <w:color w:val="000000"/>
          <w:lang w:val="pl-PL"/>
        </w:rPr>
        <w:t>osobom upoważnionym przez Administratora;</w:t>
      </w:r>
    </w:p>
    <w:p>
      <w:pPr>
        <w:keepLines/>
        <w:numPr>
          <w:ilvl w:val="0"/>
          <w:numId w:val="17"/>
        </w:numPr>
        <w:spacing w:after="60"/>
        <w:rPr>
          <w:lang w:val="pl-PL"/>
        </w:rPr>
      </w:pPr>
      <w:r>
        <w:rPr>
          <w:rFonts w:eastAsia="Calibri"/>
          <w:color w:val="000000"/>
          <w:lang w:val="pl-PL"/>
        </w:rPr>
        <w:t>Proton AG, Szwajcaria — poczta support/contact/billing i alerty Operatora; zakres obejmuje korespondencję, adresy i ograniczone metadane alertu. Proton działa jako procesor w zakresie objętym jego DPA, a dla własnych obowiązków według swojej polityki. Wiadomości SMTP korzystają z TLS; nie są z tego powodu szyfrowane end-to-end. Nie wysyła się w alertach surowego Payloadu, sekretów ani faktury;</w:t>
      </w:r>
    </w:p>
    <w:p>
      <w:pPr>
        <w:keepLines/>
        <w:numPr>
          <w:ilvl w:val="0"/>
          <w:numId w:val="17"/>
        </w:numPr>
        <w:spacing w:after="60"/>
        <w:rPr>
          <w:lang w:val="pl-PL"/>
        </w:rPr>
      </w:pPr>
      <w:r>
        <w:rPr>
          <w:rFonts w:eastAsia="Calibri"/>
          <w:color w:val="000000"/>
          <w:lang w:val="pl-PL"/>
        </w:rPr>
        <w:t>Cloudflare, Inc., USA — DNS oraz pośrednik HTTP Cloudflare Tunnel. Pośrednik HTTP kończący TLS może przetwarzać treść onboardingu, Payload, odpowiedzi i nagłówki podpisu x402. Jest procesorem danych obsługiwanych dla Administratora, a w zakresie danych powierzonych — podprocesorem według DPA. Nie deklaruje się ograniczenia całego przepływu do EOG ani wyłącznie do metadanych DNS;</w:t>
      </w:r>
    </w:p>
    <w:p>
      <w:pPr>
        <w:keepLines/>
        <w:numPr>
          <w:ilvl w:val="0"/>
          <w:numId w:val="17"/>
        </w:numPr>
        <w:spacing w:after="60"/>
        <w:rPr>
          <w:lang w:val="pl-PL"/>
        </w:rPr>
      </w:pPr>
      <w:proofErr w:type="spellStart"/>
      <w:proofErr w:type="spellEnd"/>
      <w:r>
        <w:rPr>
          <w:rFonts w:eastAsia="Calibri"/>
          <w:color w:val="000000"/>
          <w:lang w:val="pl-PL"/>
        </w:rPr>
        <w:t>lokalny serwer Operatora i PostgreSQL — główny zapis onboardingu, płatności, dowodów oraz spraw operacyjnych. Baza i kopie zapasowe Operatora znajdują się lokalnie w Polsce;</w:t>
      </w:r>
    </w:p>
    <w:p>
      <w:pPr>
        <w:keepLines/>
        <w:numPr>
          <w:ilvl w:val="0"/>
          <w:numId w:val="17"/>
        </w:numPr>
        <w:spacing w:after="60"/>
        <w:rPr>
          <w:lang w:val="pl-PL"/>
        </w:rPr>
      </w:pPr>
      <w:r>
        <w:rPr>
          <w:rFonts w:eastAsia="Calibri"/>
          <w:color w:val="000000"/>
          <w:lang w:val="pl-PL"/>
        </w:rPr>
        <w:t>TaxCoach sp. z o.o., Polska, KRS 0000653979, NIP 7792455049 — księgowość na podstawie umowy A_2189 z 4 sierpnia 2026 r. i załączonego powierzenia. Otrzymuje dane księgowe i fakturowe, bez surowego Payloadu. Folder dokumentów należy do uzgodnionego obiegu TaxCoach Google Drive; załącznik C umowy wskazuje Google LLC, USA, jako dostawcę Google Workspace. Nie oznacza to, że wszyscy podwykonawcy księgowości otrzymują każdy dokument IntegrityPhase;</w:t>
      </w:r>
    </w:p>
    <w:p>
      <w:pPr>
        <w:keepLines/>
        <w:numPr>
          <w:ilvl w:val="0"/>
          <w:numId w:val="17"/>
        </w:numPr>
        <w:spacing w:after="60"/>
        <w:rPr>
          <w:lang w:val="pl-PL"/>
        </w:rPr>
      </w:pPr>
      <w:r>
        <w:rPr>
          <w:lang w:val="pl-PL"/>
        </w:rPr>
        <w:t xml:space="preserve">Coinbase Developer Platform — facilitator x402 otrzymuje dane autoryzacji i rozliczenia płatności, bez surowego Payloadu. Umowa obejmuje Coinbase, Inc., Coinbase Crypto Services, LLC oraz właściwe podmioty powiązane świadczące narzędzia. W zakresie End User Data objętych prawem EOG Administrator jest administratorem, a Coinbase procesorem według pkt 10 warunków CDP. Safe jest kontraktem odbiorcy, nie osobnym podmiotem przetwarzającym. Publiczna sieć Base utrwala dane transakcji; RPC otrzymuje zapytania o stan sieci i metadane połączenia, bez Payloadu. KSeF/MF otrzymuje wymagane dane faktury;</w:t>
      </w:r>
    </w:p>
    <w:p>
      <w:pPr>
        <w:keepLines/>
        <w:numPr>
          <w:ilvl w:val="0"/>
          <w:numId w:val="17"/>
        </w:numPr>
        <w:spacing w:after="60"/>
        <w:rPr>
          <w:lang w:val="pl-PL"/>
        </w:rPr>
      </w:pPr>
      <w:r>
        <w:rPr>
          <w:rFonts w:eastAsia="Calibri"/>
          <w:color w:val="000000"/>
          <w:lang w:val="pl-PL"/>
        </w:rPr>
        <w:t>organom publicznym na podstawie obowiązującego prawa.</w:t>
      </w:r>
    </w:p>
    <w:p>
      <w:pPr>
        <w:keepLines/>
        <w:numPr>
          <w:ilvl w:val="0"/>
          <w:numId w:val="16"/>
        </w:numPr>
        <w:rPr>
          <w:lang w:val="pl-PL"/>
        </w:rPr>
      </w:pPr>
      <w:r>
        <w:rPr>
          <w:lang w:val="pl-PL"/>
        </w:rPr>
        <w:t xml:space="preserve">Operator korzysta ze standardowych warunków wskazanych dostawców, bez indywidualnych ustaleń lokalizacji lub retencji. Nie jest to gwarancja przechowywania wszystkich danych w EOG ani zerowej retencji pośredników. Dane powierzone przekazuje się wyłącznie podprocesorom dopuszczonym zgodnie z DPA. Zmiana dostawcy albo zakresu wymaga odpowiedniej aktualizacji informacji i zastosowania procedury DPA.</w:t>
      </w:r>
    </w:p>
    <w:p>
      <w:pPr>
        <w:keepLines/>
        <w:numPr>
          <w:ilvl w:val="0"/>
          <w:numId w:val="16"/>
        </w:numPr>
        <w:rPr>
          <w:lang w:val="pl-PL"/>
        </w:rPr>
      </w:pPr>
      <w:r>
        <w:rPr>
          <w:rFonts w:eastAsia="Calibri"/>
          <w:color w:val="000000"/>
          <w:lang w:val="pl-PL"/>
        </w:rPr>
        <w:t>Aktualna lista podmiotów przetwarzających wykorzystywanych dla danych powierzonych jest zawarta w DPA i aktualizowana zgodnie z przewidzianą tam procedurą.</w:t>
      </w:r>
    </w:p>
    <w:p>
      <w:pPr/>
      <w:r>
        <w:t xml:space="preserve">Informacje uzupełniające oraz kopię zabezpieczeń transferowych można otrzymać bezpłatnie pod privacy@integrityphase.com. Sposób uzyskania kopii opisuje pkt 8; lista podprocesorów danych powierzonych znajduje się w DPA.</w:t>
      </w:r>
    </w:p>
    <w:p>
      <w:pPr>
        <w:keepLines/>
        <w:numPr>
          <w:ilvl w:val="0"/>
          <w:numId w:val="16"/>
        </w:numPr>
        <w:rPr>
          <w:lang w:val="pl-PL"/>
        </w:rPr>
      </w:pPr>
      <w:r>
        <w:t>Dane płatności Circle EURC na Base mogą być publiczne i trwałe: payer, pay_to, kontrakt 0x60a3E35Cc302bFA44Cb288Bc5a4F316Fdb1adb42, kwota i hash transakcji. Opłata odpowiada 20 EUR netto plus właściwy VAT i dokładnej ilości EURC z oferty. Administrator nie świadczy custody ani nie może usunąć zapisu z blockchaina.</w:t>
      </w:r>
    </w:p>
    <w:p>
      <w:pPr>
        <w:pStyle w:val="Nagwek1"/>
      </w:pPr>
      <w:r>
        <w:rPr>
          <w:rFonts w:eastAsia="Calibri"/>
          <w:lang w:val="pl-PL"/>
        </w:rPr>
        <w:t>8. Transfery poza Europejski Obszar Gospodarczy</w:t>
      </w:r>
    </w:p>
    <w:p>
      <w:pPr>
        <w:keepLines/>
        <w:numPr>
          <w:ilvl w:val="0"/>
          <w:numId w:val="18"/>
        </w:numPr>
        <w:rPr>
          <w:lang w:val="pl-PL"/>
        </w:rPr>
      </w:pPr>
      <w:r>
        <w:rPr>
          <w:lang w:val="pl-PL"/>
        </w:rPr>
        <w:t xml:space="preserve">Lokalna baza i kopie Operatora znajdują się w Polsce. Cloudflare oraz CDP obejmują odbiorców w USA, Proton w Szwajcarii, a obieg księgowy TaxCoach korzysta z Google Workspace. Nie deklarujemy wyłącznego przetwarzania w EOG. Dla tych przepływów obowiązują poniższe mechanizmy.</w:t>
      </w:r>
    </w:p>
    <w:p>
      <w:pPr>
        <w:keepLines/>
        <w:numPr>
          <w:ilvl w:val="0"/>
          <w:numId w:val="18"/>
        </w:numPr>
        <w:rPr>
          <w:lang w:val="pl-PL"/>
        </w:rPr>
      </w:pPr>
      <w:r>
        <w:rPr>
          <w:lang w:val="pl-PL"/>
        </w:rPr>
        <w:t xml:space="preserve">Cloudflare, Inc., USA: dla transferów objętych EU–US Data Privacy Framework (DPF) podstawą jest decyzja Komisji o odpowiednim stopniu ochrony. Dla transferów nieobjętych tą podstawą DPA przewiduje SCC: moduł 2, gdy Operator jest administratorem, i moduł 3, gdy jest procesorem Klienta. Dotyczy to także zasad dalszych transferów. Zabezpieczenia: </w:t>
      </w:r>
      <w:hyperlink r:id="rIdLegal151CF">
        <w:r>
          <w:rPr>
            <w:lang w:val="pl-PL"/>
            <w:color w:val="174B74"/>
            <w:u w:val="single"/>
          </w:rPr>
          <w:t xml:space="preserve">DPA Cloudflare, pkt 6</w:t>
        </w:r>
      </w:hyperlink>
      <w:r>
        <w:rPr>
          <w:lang w:val="pl-PL"/>
        </w:rPr>
        <w:t xml:space="preserve">; lokalizacje dalszych podmiotów: </w:t>
      </w:r>
      <w:hyperlink r:id="rIdLegal151CF_LIST">
        <w:r>
          <w:rPr>
            <w:lang w:val="pl-PL"/>
            <w:color w:val="174B74"/>
            <w:u w:val="single"/>
          </w:rPr>
          <w:t xml:space="preserve">lista podprocesorów Cloudflare</w:t>
        </w:r>
      </w:hyperlink>
      <w:r>
        <w:rPr>
          <w:lang w:val="pl-PL"/>
        </w:rPr>
        <w:t xml:space="preserve">.</w:t>
      </w:r>
    </w:p>
    <w:p>
      <w:pPr>
        <w:keepLines/>
        <w:numPr>
          <w:ilvl w:val="0"/>
          <w:numId w:val="18"/>
        </w:numPr>
        <w:rPr>
          <w:lang w:val="pl-PL"/>
        </w:rPr>
      </w:pPr>
      <w:r>
        <w:rPr>
          <w:lang w:val="pl-PL"/>
        </w:rPr>
        <w:t xml:space="preserve">Coinbase Developer Platform, USA: dla przekazywania danych płatności objętych prawem EOG do odbiorcy bez odpowiedniego stopnia ochrony stosuje się SCC moduł 2, włączone do standardowych warunków w załączniku 3. Zabezpieczenia i zakres: </w:t>
      </w:r>
      <w:hyperlink r:id="rIdLegal151CDP">
        <w:r>
          <w:rPr>
            <w:lang w:val="pl-PL"/>
            <w:color w:val="174B74"/>
            <w:u w:val="single"/>
          </w:rPr>
          <w:t xml:space="preserve">warunki CDP, pkt 10 i załącznik 3</w:t>
        </w:r>
      </w:hyperlink>
      <w:r>
        <w:rPr>
          <w:lang w:val="pl-PL"/>
        </w:rPr>
        <w:t xml:space="preserve">.</w:t>
      </w:r>
    </w:p>
    <w:p>
      <w:pPr>
        <w:keepLines/>
        <w:numPr>
          <w:ilvl w:val="0"/>
          <w:numId w:val="18"/>
        </w:numPr>
        <w:rPr>
          <w:lang w:val="pl-PL"/>
        </w:rPr>
      </w:pPr>
      <w:r>
        <w:rPr>
          <w:lang w:val="pl-PL"/>
        </w:rPr>
        <w:t xml:space="preserve">Proton AG, Szwajcaria: przekazanie do Szwajcarii opiera się na decyzji Komisji o odpowiednim stopniu ochrony. Dalsze transfery poza państwa z taką ochroną podlegają zabezpieczeniom z pkt 11 DPA, co do zasady właściwym SCC. Źródła: </w:t>
      </w:r>
      <w:hyperlink r:id="rIdLegal151ADEQUACY">
        <w:r>
          <w:rPr>
            <w:lang w:val="pl-PL"/>
            <w:color w:val="174B74"/>
            <w:u w:val="single"/>
          </w:rPr>
          <w:t xml:space="preserve">decyzje Komisji Europejskiej o odpowiednim stopniu ochrony</w:t>
        </w:r>
      </w:hyperlink>
      <w:r>
        <w:rPr>
          <w:lang w:val="pl-PL"/>
        </w:rPr>
        <w:t xml:space="preserve">; </w:t>
      </w:r>
      <w:hyperlink r:id="rIdLegal151PROTON">
        <w:r>
          <w:rPr>
            <w:lang w:val="pl-PL"/>
            <w:color w:val="174B74"/>
            <w:u w:val="single"/>
          </w:rPr>
          <w:t xml:space="preserve">DPA Proton, pkt 11</w:t>
        </w:r>
      </w:hyperlink>
      <w:r>
        <w:rPr>
          <w:lang w:val="pl-PL"/>
        </w:rPr>
        <w:t xml:space="preserve">.</w:t>
      </w:r>
    </w:p>
    <w:p>
      <w:pPr>
        <w:keepLines/>
        <w:numPr>
          <w:ilvl w:val="0"/>
          <w:numId w:val="18"/>
        </w:numPr>
        <w:rPr>
          <w:lang w:val="pl-PL"/>
        </w:rPr>
      </w:pPr>
      <w:r>
        <w:rPr>
          <w:lang w:val="pl-PL"/>
        </w:rPr>
        <w:t xml:space="preserve">Google LLC, USA, w łańcuchu TaxCoach: Google Workspace stosuje EU–US DPF dla objętych nim transferów do USA. Przy pozostałych transferach wymagających zabezpieczeń obowiązują właściwe SCC z Cloud Data Processing Addendum; w relacji podprocesorów jest to odpowiedni moduł procesor–procesor. Źródła: </w:t>
      </w:r>
      <w:hyperlink r:id="rIdLegal151GOOGLE_DPF">
        <w:r>
          <w:rPr>
            <w:lang w:val="pl-PL"/>
            <w:color w:val="174B74"/>
            <w:u w:val="single"/>
          </w:rPr>
          <w:t xml:space="preserve">mechanizm transferowy Google Workspace</w:t>
        </w:r>
      </w:hyperlink>
      <w:r>
        <w:rPr>
          <w:lang w:val="pl-PL"/>
        </w:rPr>
        <w:t xml:space="preserve">; </w:t>
      </w:r>
      <w:hyperlink r:id="rIdLegal151GOOGLE">
        <w:r>
          <w:rPr>
            <w:lang w:val="pl-PL"/>
            <w:color w:val="174B74"/>
            <w:u w:val="single"/>
          </w:rPr>
          <w:t xml:space="preserve">Cloud Data Processing Addendum Google</w:t>
        </w:r>
      </w:hyperlink>
      <w:r>
        <w:rPr>
          <w:lang w:val="pl-PL"/>
        </w:rPr>
        <w:t xml:space="preserve">. Dotyczy to danych księgowych w uzgodnionym folderze, bez Payloadu. Nie jest to deklaracja konkretnego regionu folderu TaxCoach.</w:t>
      </w:r>
    </w:p>
    <w:p>
      <w:pPr>
        <w:keepLines/>
        <w:numPr>
          <w:ilvl w:val="0"/>
          <w:numId w:val="18"/>
        </w:numPr>
        <w:rPr>
          <w:lang w:val="pl-PL"/>
        </w:rPr>
      </w:pPr>
      <w:r>
        <w:rPr>
          <w:lang w:val="pl-PL"/>
        </w:rPr>
        <w:t xml:space="preserve">Treść stosowanych zabezpieczeń jest dostępna pod podanymi odnośnikami, w tym </w:t>
      </w:r>
      <w:hyperlink r:id="rIdLegal151SCC">
        <w:r>
          <w:rPr>
            <w:lang w:val="pl-PL"/>
            <w:color w:val="174B74"/>
            <w:u w:val="single"/>
          </w:rPr>
          <w:t xml:space="preserve">standardowe klauzule umowne 2021/914</w:t>
        </w:r>
      </w:hyperlink>
      <w:r>
        <w:rPr>
          <w:lang w:val="pl-PL"/>
        </w:rPr>
        <w:t xml:space="preserve">. Kopię zabezpieczeń właściwych dla danego przepływu, wraz z istotnymi załącznikami lub wyjaśnieniem mechanizmu, można uzyskać bezpłatnie pod privacy@integrityphase.com. Możliwe jest zasłonięcie chronionych informacji innych osób lub tajemnic handlowych, bez pozbawienia osoby informacji o ochronie jej danych.</w:t>
      </w:r>
    </w:p>
    <w:p>
      <w:pPr>
        <w:pStyle w:val="Nagwek1"/>
      </w:pPr>
      <w:r>
        <w:rPr>
          <w:rFonts w:eastAsia="Calibri"/>
          <w:lang w:val="pl-PL"/>
        </w:rPr>
        <w:t xml:space="preserve">9. Okresy i kryteria </w:t>
      </w:r>
      <w:r>
        <w:rPr>
          <w:rFonts w:eastAsia="Calibri"/>
          <w:lang w:val="pl-PL"/>
        </w:rPr>
        <w:t>przechowywania</w:t>
      </w:r>
      <w:r>
        <w:rPr>
          <w:rStyle w:val="Odwoaniedokomentarza"/>
          <w:rFonts w:eastAsia="MS Mincho"/>
          <w:b w:val="0"/>
          <w:bCs w:val="0"/>
          <w:color w:val="000000"/>
        </w:rPr>
      </w:r>
    </w:p>
    <w:tbl>
      <w:tblPr>
        <w:tblW w:w="9412" w:type="dxa"/>
        <w:tblInd w:w="120" w:type="dxa"/>
        <w:tblBorders>
          <w:top w:val="single" w:sz="5" w:space="0" w:color="C9D2DD"/>
          <w:left w:val="single" w:sz="5" w:space="0" w:color="C9D2DD"/>
          <w:bottom w:val="single" w:sz="5" w:space="0" w:color="C9D2DD"/>
          <w:right w:val="single" w:sz="5" w:space="0" w:color="C9D2DD"/>
          <w:insideH w:val="single" w:sz="5" w:space="0" w:color="C9D2DD"/>
          <w:insideV w:val="single" w:sz="5" w:space="0" w:color="C9D2DD"/>
        </w:tblBorders>
        <w:tblLayout w:type="fixed"/>
        <w:tblLook w:val="04A0"/>
      </w:tblPr>
      <w:tblGrid>
        <w:gridCol w:w="3050"/>
        <w:gridCol w:w="6362"/>
      </w:tblGrid>
      <w:tr>
        <w:trPr>
          <w:tblHeader/>
          <w:cantSplit/>
        </w:trPr>
        <w:tc>
          <w:tcPr>
            <w:tcW w:w="3050" w:type="dxa"/>
            <w:shd w:val="clear" w:color="auto" w:fill="E8EEF5"/>
            <w:tcMar>
              <w:top w:w="90" w:type="dxa"/>
              <w:left w:w="120" w:type="dxa"/>
              <w:bottom w:w="90" w:type="dxa"/>
              <w:right w:w="120" w:type="dxa"/>
            </w:tcMar>
            <w:vAlign w:val="center"/>
          </w:tcPr>
          <w:p>
            <w:pPr>
              <w:keepNext/>
              <w:spacing w:after="0" w:line="252" w:lineRule="auto"/>
            </w:pPr>
            <w:r>
              <w:rPr>
                <w:rFonts w:eastAsia="Calibri"/>
                <w:b/>
                <w:color w:val="000000"/>
                <w:sz w:val="18"/>
                <w:lang w:val="pl-PL"/>
              </w:rPr>
              <w:t>Kategoria</w:t>
            </w:r>
          </w:p>
        </w:tc>
        <w:tc>
          <w:tcPr>
            <w:tcW w:w="6362" w:type="dxa"/>
            <w:shd w:val="clear" w:color="auto" w:fill="E8EEF5"/>
            <w:tcMar>
              <w:top w:w="90" w:type="dxa"/>
              <w:left w:w="120" w:type="dxa"/>
              <w:bottom w:w="90" w:type="dxa"/>
              <w:right w:w="120" w:type="dxa"/>
            </w:tcMar>
            <w:vAlign w:val="center"/>
          </w:tcPr>
          <w:p>
            <w:pPr>
              <w:keepNext/>
              <w:spacing w:after="0" w:line="252" w:lineRule="auto"/>
              <w:rPr>
                <w:lang w:val="pl-PL"/>
              </w:rPr>
            </w:pPr>
            <w:r>
              <w:rPr>
                <w:rFonts w:eastAsia="Calibri"/>
                <w:b/>
                <w:color w:val="000000"/>
                <w:sz w:val="18"/>
                <w:lang w:val="pl-PL"/>
              </w:rPr>
              <w:t>Okres lub kryterium ustalania okresu</w:t>
            </w:r>
          </w:p>
        </w:tc>
      </w:tr>
      <w:tr>
        <w:tc>
          <w:tcPr>
            <w:tcW w:w="3050" w:type="dxa"/>
            <w:tcMar>
              <w:top w:w="90" w:type="dxa"/>
              <w:left w:w="120" w:type="dxa"/>
              <w:bottom w:w="90" w:type="dxa"/>
              <w:right w:w="120" w:type="dxa"/>
            </w:tcMar>
            <w:vAlign w:val="center"/>
          </w:tcPr>
          <w:p>
            <w:r>
              <w:t>Dane automatycznego onboardingu, które nie doprowadziły do zawarcia Umowy</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12 miesięcy od zakończenia kontaktu; dłużej wyłącznie, jeżeli jest to niezbędne do ustalenia, dochodzenia lub obrony konkretnego roszczenia</w:t>
            </w:r>
          </w:p>
        </w:tc>
        <w:trPr>
          <w:cantSplit/>
        </w:trPr>
      </w:tr>
      <w:tr>
        <w:tc>
          <w:tcPr>
            <w:tcW w:w="3050" w:type="dxa"/>
            <w:shd w:val="clear" w:color="auto" w:fill="FAFBFC"/>
            <w:tcMar>
              <w:top w:w="90" w:type="dxa"/>
              <w:left w:w="120" w:type="dxa"/>
              <w:bottom w:w="90" w:type="dxa"/>
              <w:right w:w="120" w:type="dxa"/>
            </w:tcMar>
            <w:vAlign w:val="center"/>
          </w:tcPr>
          <w:p>
            <w:r>
              <w:t>Dane firmy, Delegacji, podpisu/pieczęci, Umowy i dowody akceptacji</w:t>
            </w:r>
          </w:p>
        </w:tc>
        <w:tc>
          <w:tcPr>
            <w:tcW w:w="6362" w:type="dxa"/>
            <w:shd w:val="clear" w:color="auto" w:fill="FAFBFC"/>
            <w:tcMar>
              <w:top w:w="90" w:type="dxa"/>
              <w:left w:w="120" w:type="dxa"/>
              <w:bottom w:w="90" w:type="dxa"/>
              <w:right w:w="120" w:type="dxa"/>
            </w:tcMar>
            <w:vAlign w:val="center"/>
          </w:tcPr>
          <w:p>
            <w:r>
              <w:t>przez czas Umowy oraz 3 lata od końca roku jej ustania; dłużej wyłącznie dla konkretnego obowiązku lub postępowania</w:t>
            </w:r>
          </w:p>
        </w:tc>
        <w:trPr>
          <w:cantSplit/>
        </w:trPr>
      </w:tr>
      <w:tr>
        <w:tc>
          <w:tcPr>
            <w:tcW w:w="3050" w:type="dxa"/>
            <w:tcMar>
              <w:top w:w="90" w:type="dxa"/>
              <w:left w:w="120" w:type="dxa"/>
              <w:bottom w:w="90" w:type="dxa"/>
              <w:right w:w="120" w:type="dxa"/>
            </w:tcMar>
            <w:vAlign w:val="center"/>
          </w:tcPr>
          <w:p>
            <w:pPr>
              <w:spacing w:after="0" w:line="252" w:lineRule="auto"/>
              <w:rPr>
                <w:lang w:val="pl-PL"/>
              </w:rPr>
            </w:pPr>
            <w:r>
              <w:rPr>
                <w:lang w:val="pl-PL"/>
              </w:rPr>
              <w:t xml:space="preserve">Metadane operacyjne, decyzje przed płatnością i techniczny ślad webhook_integrity.v1</w:t>
            </w:r>
          </w:p>
        </w:tc>
        <w:tc>
          <w:tcPr>
            <w:tcW w:w="6362" w:type="dxa"/>
            <w:tcMar>
              <w:top w:w="90" w:type="dxa"/>
              <w:left w:w="120" w:type="dxa"/>
              <w:bottom w:w="90" w:type="dxa"/>
              <w:right w:w="120" w:type="dxa"/>
            </w:tcMar>
            <w:vAlign w:val="center"/>
          </w:tcPr>
          <w:p>
            <w:pPr>
              <w:spacing w:after="0" w:line="252" w:lineRule="auto"/>
              <w:rPr>
                <w:lang w:val="pl-PL"/>
              </w:rPr>
            </w:pPr>
            <w:r>
              <w:rPr>
                <w:lang w:val="pl-PL"/>
              </w:rPr>
              <w:t xml:space="preserve">36 miesięcy od zakończenia Operacji, a dla odmowy przed płatnością od zakończenia jej obsługi; konkretny incydent lub roszczenie uzasadnia tylko niezbędny zakres do zamknięcia sprawy. Odrębne dowody rozliczenia podlegają pozycji księgowej</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Metadane Credentialu po jego odwołaniu</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24 miesiące od odwołania Credentialu</w:t>
            </w:r>
          </w:p>
        </w:tc>
        <w:trPr>
          <w:cantSplit/>
        </w:trPr>
      </w:tr>
      <w:tr>
        <w:tc>
          <w:tcPr>
            <w:tcW w:w="3050" w:type="dxa"/>
            <w:tcMar>
              <w:top w:w="90" w:type="dxa"/>
              <w:left w:w="120" w:type="dxa"/>
              <w:bottom w:w="90" w:type="dxa"/>
              <w:right w:w="120" w:type="dxa"/>
            </w:tcMar>
            <w:vAlign w:val="center"/>
          </w:tcPr>
          <w:p>
            <w:pPr>
              <w:spacing w:after="0" w:line="252" w:lineRule="auto"/>
            </w:pPr>
            <w:r>
              <w:rPr>
                <w:rFonts w:eastAsia="Calibri"/>
                <w:color w:val="000000"/>
                <w:sz w:val="18"/>
                <w:lang w:val="pl-PL"/>
              </w:rPr>
              <w:t>Logi bezpieczeństwa i błędów</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zwykłe logi i logi błędów – 90 dni; logi związane z udokumentowanym incydentem – do jego zamknięcia, a następnie przez 36 miesięcy</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Surowy Payload webhook_integrity.v1 i surowy podpis x402</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w aplikacji wyłącznie przejściowo w pamięci do zakończenia, odrzucenia, timeoutu albo błędu obsługi Żądania lub weryfikacji/settlementu; następnie zwolnienie danych jak w pkt 6. Brak zapisu surowej treści w konfiguracji dopuszczenia, bazie, logach i kopiach aplikacji. Infrastruktura pośrednika: pkt 7–8</w:t>
            </w:r>
          </w:p>
        </w:tc>
        <w:trPr>
          <w:cantSplit/>
        </w:trPr>
      </w:tr>
      <w:tr>
        <w:tc>
          <w:tcPr>
            <w:tcW w:w="3050"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Dane reklamacji, incydentów i wsparcia</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do zamknięcia sprawy, a następnie przez 3 lata od końca roku kalendarzowego, w którym ją zamknięto</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pPr>
            <w:r>
              <w:rPr>
                <w:rFonts w:eastAsia="Calibri"/>
                <w:color w:val="000000"/>
                <w:sz w:val="18"/>
                <w:lang w:val="pl-PL"/>
              </w:rPr>
              <w:t>Dokumentacja fakturowa i księgowa oraz dowody rozliczenia opłaty x402, w tym właściwe dowody kursowe</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przez 5 lat, licząc od końca roku kalendarzowego, w którym upłynął termin płatności podatku, albo dłużej, jeżeli wynika to z zawieszenia lub przerwania biegu terminu bądź przepisów szczególnych</w:t>
            </w:r>
          </w:p>
        </w:tc>
        <w:trPr>
          <w:cantSplit/>
        </w:trPr>
      </w:tr>
      <w:tr>
        <w:tc>
          <w:tcPr>
            <w:tcW w:w="3050" w:type="dxa"/>
            <w:tcMar>
              <w:top w:w="90" w:type="dxa"/>
              <w:left w:w="120" w:type="dxa"/>
              <w:bottom w:w="90" w:type="dxa"/>
              <w:right w:w="120" w:type="dxa"/>
            </w:tcMar>
            <w:vAlign w:val="center"/>
          </w:tcPr>
          <w:p>
            <w:pPr>
              <w:spacing w:after="0" w:line="252" w:lineRule="auto"/>
            </w:pPr>
            <w:r>
              <w:rPr>
                <w:rFonts w:eastAsia="Calibri"/>
                <w:color w:val="000000"/>
                <w:sz w:val="18"/>
                <w:lang w:val="pl-PL"/>
              </w:rPr>
              <w:t>Kopie zapasowe</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maksymalnie 30 dni w cyklu rotacyjnym; po odtworzeniu kopii usunięcia i ograniczenia są ponownie propagowane przed wznowieniem zwykłego przetwarzania</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rPr>
                <w:lang w:val="pl-PL"/>
              </w:rPr>
            </w:pPr>
            <w:proofErr w:type="spellStart"/>
            <w:proofErr w:type="spellEnd"/>
            <w:r>
              <w:rPr>
                <w:rFonts w:eastAsia="Calibri"/>
                <w:color w:val="000000"/>
                <w:sz w:val="18"/>
                <w:lang w:val="pl-PL"/>
              </w:rPr>
              <w:t>Dane zapisane w publicznej sieci Base</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zgodnie z zasadami danej sieci; brak technicznej możliwości usunięcia zapisu przez Administratora</w:t>
            </w:r>
          </w:p>
        </w:tc>
        <w:trPr>
          <w:cantSplit/>
        </w:trPr>
      </w:tr>
    </w:tbl>
    <w:p>
      <w:pPr>
        <w:spacing w:after="20"/>
        <w:rPr>
          <w:lang w:val="pl-PL"/>
        </w:rPr>
      </w:pPr>
    </w:p>
    <w:p>
      <w:pPr>
        <w:keepLines/>
        <w:numPr>
          <w:ilvl w:val="0"/>
          <w:numId w:val="19"/>
        </w:numPr>
        <w:rPr>
          <w:lang w:val="pl-PL"/>
        </w:rPr>
      </w:pPr>
      <w:r>
        <w:rPr>
          <w:lang w:val="pl-PL"/>
        </w:rPr>
        <w:t xml:space="preserve">Okres ogranicza się do czasu niezbędnego dla celu. Metadane techniczne, w tym decyzje przed płatnością, podlegają retencji operacyjnej, a faktury i niezbędne dowody rozliczenia odrębnej retencji księgowej. Samo powiązanie z płatnością nie uzasadnia przechowywania całego rekordu technicznego przez okres księgowy. Po usunięciu przechowywanej kopii Wyniku nie można już odzyskać jej z Usługi; pozostaje możliwość niezależnej weryfikacji kopii zachowanej przez Klienta. Usunięcie nie uprawnia do ponownego pobrania tej samej opłaty. Udokumentowany obowiązek, incydent lub konkretne roszczenie mogą uzasadniać zabezpieczenie określonego zakresu danych. Konieczność i zakres takiego zabezpieczenia są sprawdzane co najmniej co 6 miesięcy; nie stanowi ono automatycznego przedłużenia retencji wszystkich danych.</w:t>
      </w:r>
    </w:p>
    <w:p>
      <w:pPr>
        <w:keepLines/>
        <w:numPr>
          <w:ilvl w:val="0"/>
          <w:numId w:val="19"/>
        </w:numPr>
        <w:rPr>
          <w:lang w:val="pl-PL"/>
        </w:rPr>
      </w:pPr>
      <w:r>
        <w:rPr>
          <w:lang w:val="pl-PL"/>
        </w:rPr>
        <w:t xml:space="preserve">Po ustaniu celu i właściwej podstawy dane są usuwane albo skutecznie anonimizowane; sam hash nie oznacza anonimowości. Dane powierzone usuwa się albo zwraca zgodnie z pkt 14 DPA, bez oczekiwania na późniejsze polecenie Klienta. Maksymalny termin aktywnego usunięcia lub zwrotu wynosi 30 dni od zakończenia przetwarzania danej kategorii, z zachowaniem krótszych terminów, w tym dla Payloadu. Odizolowane kopie wygasają w cyklu nie dłuższym niż 30 dni i przed wznowieniem po odtworzeniu stosuje się rejestr usunięć.</w:t>
      </w:r>
    </w:p>
    <w:p>
      <w:pPr>
        <w:pStyle w:val="Nagwek1"/>
      </w:pPr>
      <w:r>
        <w:rPr>
          <w:rFonts w:eastAsia="Calibri"/>
          <w:lang w:val="pl-PL"/>
        </w:rPr>
        <w:t>10. Prawa osób</w:t>
      </w:r>
    </w:p>
    <w:p>
      <w:pPr>
        <w:keepLines/>
        <w:numPr>
          <w:ilvl w:val="0"/>
          <w:numId w:val="20"/>
        </w:numPr>
        <w:rPr>
          <w:lang w:val="pl-PL"/>
        </w:rPr>
      </w:pPr>
      <w:r>
        <w:rPr>
          <w:rFonts w:eastAsia="Calibri"/>
          <w:color w:val="000000"/>
          <w:lang w:val="pl-PL"/>
        </w:rPr>
        <w:t>Osobie, której dane dotyczą, przysługuje – w granicach RODO – prawo dostępu, sprostowania, usunięcia, ograniczenia przetwarzania, przenoszenia danych, wniesienia sprzeciwu oraz cofnięcia zgody, jeżeli zgoda jest podstawą przetwarzania.</w:t>
      </w:r>
    </w:p>
    <w:p>
      <w:pPr>
        <w:keepLines/>
        <w:numPr>
          <w:ilvl w:val="0"/>
          <w:numId w:val="20"/>
        </w:numPr>
        <w:rPr>
          <w:lang w:val="pl-PL"/>
        </w:rPr>
      </w:pPr>
      <w:r>
        <w:rPr>
          <w:rFonts w:eastAsia="Calibri"/>
          <w:color w:val="000000"/>
          <w:lang w:val="pl-PL"/>
        </w:rPr>
        <w:t>Żądanie można przesłać na privacy@integrityphase.com. Administrator może poprosić o informacje potrzebne do potwierdzenia tożsamości i zakresu żądania.</w:t>
      </w:r>
    </w:p>
    <w:p>
      <w:pPr>
        <w:keepLines/>
        <w:numPr>
          <w:ilvl w:val="0"/>
          <w:numId w:val="20"/>
        </w:numPr>
        <w:rPr>
          <w:lang w:val="pl-PL"/>
        </w:rPr>
      </w:pPr>
      <w:r>
        <w:rPr>
          <w:rFonts w:eastAsia="Calibri"/>
          <w:color w:val="000000"/>
          <w:lang w:val="pl-PL"/>
        </w:rPr>
        <w:t>Jeżeli żądanie dotyczy danych przetwarzanych wyłącznie w imieniu Klienta na podstawie DPA, Administrator przekazuje je Klientowi albo wspiera Klienta zgodnie z DPA.</w:t>
      </w:r>
    </w:p>
    <w:p>
      <w:pPr>
        <w:keepLines/>
        <w:numPr>
          <w:ilvl w:val="0"/>
          <w:numId w:val="20"/>
        </w:numPr>
        <w:rPr>
          <w:lang w:val="pl-PL"/>
        </w:rPr>
      </w:pPr>
      <w:r>
        <w:rPr>
          <w:rFonts w:eastAsia="Calibri"/>
          <w:color w:val="000000"/>
          <w:lang w:val="pl-PL"/>
        </w:rPr>
        <w:t>Osoba może wnieść skargę do Prezesa Urzędu Ochrony Danych Osobowych.</w:t>
      </w:r>
    </w:p>
    <w:p>
      <w:pPr>
        <w:pStyle w:val="Nagwek1"/>
      </w:pPr>
      <w:r>
        <w:rPr>
          <w:rFonts w:eastAsia="Calibri"/>
          <w:lang w:val="pl-PL"/>
        </w:rPr>
        <w:t>11. Cookies i podobne technologie</w:t>
      </w:r>
    </w:p>
    <w:p>
      <w:pPr>
        <w:keepLines/>
        <w:numPr>
          <w:ilvl w:val="0"/>
          <w:numId w:val="21"/>
        </w:numPr>
        <w:rPr>
          <w:lang w:val="pl-PL"/>
        </w:rPr>
      </w:pPr>
      <w:r>
        <w:rPr>
          <w:rFonts w:eastAsia="Calibri"/>
          <w:color w:val="000000"/>
          <w:lang w:val="pl-PL"/>
        </w:rPr>
        <w:t>W obecnym zakresie IntegrityPhase nie stosuje cookies analitycznych ani marketingowych.</w:t>
      </w:r>
    </w:p>
    <w:p>
      <w:pPr>
        <w:keepLines/>
        <w:numPr>
          <w:ilvl w:val="0"/>
          <w:numId w:val="21"/>
        </w:numPr>
        <w:rPr>
          <w:lang w:val="pl-PL"/>
        </w:rPr>
      </w:pPr>
      <w:r>
        <w:rPr>
          <w:rFonts w:eastAsia="Calibri"/>
          <w:color w:val="000000"/>
          <w:lang w:val="pl-PL"/>
        </w:rPr>
        <w:t>Jeżeli strona lub panel techniczny wykorzystuje cookies niezbędne do bezpieczeństwa, utrzymania sesji albo działania usługi, są one stosowane wyłącznie w niezbędnym zakresie.</w:t>
      </w:r>
    </w:p>
    <w:p>
      <w:pPr>
        <w:keepLines/>
        <w:numPr>
          <w:ilvl w:val="0"/>
          <w:numId w:val="21"/>
        </w:numPr>
        <w:rPr>
          <w:lang w:val="pl-PL"/>
        </w:rPr>
      </w:pPr>
      <w:r>
        <w:rPr>
          <w:rFonts w:eastAsia="Calibri"/>
          <w:color w:val="000000"/>
          <w:lang w:val="pl-PL"/>
        </w:rPr>
        <w:t>Wprowadzenie analityki, marketingu albo nowych technologii śledzących wymaga aktualizacji Polityki i, gdy jest to wymagane, mechanizmu zgody.</w:t>
      </w:r>
    </w:p>
    <w:p>
      <w:pPr>
        <w:pStyle w:val="Nagwek1"/>
      </w:pPr>
      <w:r>
        <w:rPr>
          <w:rFonts w:eastAsia="Calibri"/>
          <w:lang w:val="pl-PL"/>
        </w:rPr>
        <w:lastRenderedPageBreak/>
        <w:t>12. Bezpieczeństwo danych</w:t>
      </w:r>
    </w:p>
    <w:p>
      <w:pPr>
        <w:keepLines/>
        <w:numPr>
          <w:ilvl w:val="0"/>
          <w:numId w:val="22"/>
        </w:numPr>
        <w:rPr>
          <w:lang w:val="pl-PL"/>
        </w:rPr>
      </w:pPr>
      <w:r>
        <w:t>Przed przyjęciem realnych danych Administrator wdraża środki adekwatne do ryzyka: walidację Delegacji i odwołania, kontrolę dostępu, najmniejsze uprawnienia, TLS, ochronę kluczy i credentiali, separację środowisk, kod read-only, wyodrębnione dane, integralność, audyt, procedury incydentowe — w tym 24-godzinną ścieżkę eIDAS, gdy ma zastosowanie — oraz kontrolowane kopie zapasowe.</w:t>
      </w:r>
    </w:p>
    <w:p>
      <w:pPr>
        <w:keepLines/>
        <w:numPr>
          <w:ilvl w:val="0"/>
          <w:numId w:val="22"/>
        </w:numPr>
        <w:rPr>
          <w:lang w:val="pl-PL"/>
        </w:rPr>
      </w:pPr>
      <w:r>
        <w:rPr>
          <w:rFonts w:eastAsia="Calibri"/>
          <w:color w:val="000000"/>
          <w:lang w:val="pl-PL"/>
        </w:rPr>
        <w:t xml:space="preserve">Surowe sekrety, klucze prywatne i pełne dane uwierzytelniające nie są przechowywane w logach ani śladzie </w:t>
      </w:r>
      <w:proofErr w:type="spellStart"/>
      <w:r>
        <w:rPr>
          <w:rFonts w:eastAsia="Calibri"/>
          <w:color w:val="000000"/>
          <w:lang w:val="pl-PL"/>
        </w:rPr>
        <w:t>audytowym</w:t>
      </w:r>
      <w:proofErr w:type="spellEnd"/>
      <w:r>
        <w:rPr>
          <w:rFonts w:eastAsia="Calibri"/>
          <w:color w:val="000000"/>
          <w:lang w:val="pl-PL"/>
        </w:rPr>
        <w:t>.</w:t>
      </w:r>
    </w:p>
    <w:p>
      <w:pPr>
        <w:keepLines/>
        <w:numPr>
          <w:ilvl w:val="0"/>
          <w:numId w:val="22"/>
        </w:numPr>
        <w:rPr>
          <w:lang w:val="pl-PL"/>
        </w:rPr>
      </w:pPr>
      <w:r>
        <w:rPr>
          <w:rFonts w:eastAsia="Calibri"/>
          <w:color w:val="000000"/>
          <w:lang w:val="pl-PL"/>
        </w:rPr>
        <w:t xml:space="preserve">Nie można zagwarantować całkowitego braku incydentów. Administrator weryfikuje stan po awarii, izoluje operacje o niejednoznacznym statusie i nie wykonuje automatycznego ponowienia rozliczenia, jeżeli mogłoby to spowodować podwójne </w:t>
      </w:r>
      <w:r>
        <w:rPr>
          <w:rFonts w:eastAsia="Calibri"/>
          <w:color w:val="000000"/>
          <w:lang w:val="pl-PL"/>
        </w:rPr>
        <w:t>obciążenie</w:t>
      </w:r>
      <w:r>
        <w:rPr>
          <w:rStyle w:val="Odwoaniedokomentarza"/>
        </w:rPr>
      </w:r>
      <w:r>
        <w:rPr>
          <w:rFonts w:eastAsia="Calibri"/>
          <w:color w:val="000000"/>
          <w:lang w:val="pl-PL"/>
        </w:rPr>
        <w:t>.</w:t>
      </w:r>
    </w:p>
    <w:p>
      <w:pPr>
        <w:keepLines/>
        <w:ind w:left="720"/>
        <w:rPr>
          <w:lang w:val="pl-PL"/>
        </w:rPr>
      </w:pPr>
    </w:p>
    <w:p>
      <w:pPr>
        <w:pStyle w:val="Nagwek1"/>
      </w:pPr>
      <w:r>
        <w:rPr>
          <w:rFonts w:eastAsia="Calibri"/>
          <w:lang w:val="pl-PL"/>
        </w:rPr>
        <w:lastRenderedPageBreak/>
        <w:t>13. Zmiany Polityki</w:t>
      </w:r>
    </w:p>
    <w:p>
      <w:pPr>
        <w:keepLines/>
        <w:numPr>
          <w:ilvl w:val="0"/>
          <w:numId w:val="23"/>
        </w:numPr>
        <w:rPr>
          <w:lang w:val="pl-PL"/>
        </w:rPr>
      </w:pPr>
      <w:r>
        <w:rPr>
          <w:rFonts w:eastAsia="Calibri"/>
          <w:color w:val="000000"/>
          <w:lang w:val="pl-PL"/>
        </w:rPr>
        <w:t>Polityka może być zmieniana w razie zmiany prawa, funkcjonalności, dostawców, zakresu danych, sposobu płatności lub modelu Usługi.</w:t>
      </w:r>
    </w:p>
    <w:p>
      <w:pPr>
        <w:keepLines/>
        <w:numPr>
          <w:ilvl w:val="0"/>
          <w:numId w:val="23"/>
        </w:numPr>
        <w:rPr>
          <w:lang w:val="pl-PL"/>
        </w:rPr>
      </w:pPr>
      <w:r>
        <w:rPr>
          <w:rFonts w:eastAsia="Calibri"/>
          <w:color w:val="000000"/>
          <w:lang w:val="pl-PL"/>
        </w:rPr>
        <w:t>Każda wersja jest oznaczona datą i identyfikatorem wersji.</w:t>
      </w:r>
    </w:p>
    <w:p>
      <w:pPr>
        <w:keepLines/>
        <w:numPr>
          <w:ilvl w:val="0"/>
          <w:numId w:val="23"/>
        </w:numPr>
        <w:rPr>
          <w:lang w:val="pl-PL"/>
        </w:rPr>
      </w:pPr>
      <w:r>
        <w:rPr>
          <w:rFonts w:eastAsia="Calibri"/>
          <w:color w:val="000000"/>
          <w:lang w:val="pl-PL"/>
        </w:rPr>
        <w:t>O istotnej zmianie Administrator informuje Klienta drogą elektroniczną. Jeżeli zmiana wpływa na warunki korzystania z API, dalsze korzystanie może wymagać ponownego potwierdzenia aktualnej wersji.</w:t>
      </w:r>
    </w:p>
    <w:p>
      <w:pPr>
        <w:pStyle w:val="Nagwek1"/>
      </w:pPr>
      <w:r>
        <w:rPr>
          <w:rFonts w:eastAsia="Calibri"/>
          <w:lang w:val="pl-PL"/>
        </w:rPr>
        <w:t>14. Postanowienia końcowe</w:t>
      </w:r>
    </w:p>
    <w:p>
      <w:pPr>
        <w:keepLines/>
        <w:numPr>
          <w:ilvl w:val="0"/>
          <w:numId w:val="24"/>
        </w:numPr>
        <w:rPr>
          <w:lang w:val="pl-PL"/>
        </w:rPr>
      </w:pPr>
      <w:r>
        <w:rPr>
          <w:rFonts w:eastAsia="Calibri"/>
          <w:color w:val="000000"/>
          <w:lang w:val="pl-PL"/>
        </w:rPr>
        <w:t>Politykę należy czytać łącznie z Regulaminem B2B/API i ramową DPA obowiązkowo akceptowaną w onboardingu. Powierzenie dotyczy wyłącznie danych osobowych rzeczywiście przetwarzanych w imieniu Klienta.</w:t>
      </w:r>
    </w:p>
    <w:p>
      <w:pPr>
        <w:keepLines/>
        <w:numPr>
          <w:ilvl w:val="0"/>
          <w:numId w:val="24"/>
        </w:numPr>
        <w:rPr>
          <w:lang w:val="pl-PL"/>
        </w:rPr>
      </w:pPr>
      <w:r>
        <w:rPr>
          <w:lang w:val="pl-PL"/>
        </w:rPr>
        <w:t xml:space="preserve">Wersja 1.5.2 z 30 września 2026 r. jest udostępniana przed zebraniem danych. Potwierdzenie zapoznania się z Polityką nie jest zgodą na dowolne przetwarzanie. Operator zachowuje poprzednie wersje i dowody ich przedstawienia. O zmianach informuje zgodnie z pkt 13.</w:t>
      </w:r>
    </w:p>
    <w:p>
      <w:pPr>
        <w:pStyle w:val="Nagwek1"/>
        <w:keepNext/>
        <w:keepLines/>
        <w:widowControl/>
      </w:pPr>
      <w:r>
        <w:rPr>
          <w:color w:val="000000"/>
          <w:b/>
        </w:rPr>
        <w:t>15. Organizacja przetwarzania i rozliczeń</w:t>
      </w:r>
    </w:p>
    <w:p>
      <w:pPr>
        <w:spacing w:after="120"/>
        <w:widowControl/>
      </w:pPr>
      <w:r>
        <w:rPr>
          <w:color w:val="000000"/>
        </w:rPr>
        <w:t xml:space="preserve">Operator korzysta ze standardowych warunków Cloudflare, CDP i Proton oraz planu Proton Mail Essentials. Kontakt w sprawach ochrony danych odbywa się pod privacy@integrityphase.com. Księgowość jest obsługiwana na podstawie umowy TaxCoach. Brak indywidualnych ustaleń retencji lub lokalizacji nie oznacza przetwarzania wyłącznie w UE. Zakresy danych i mechanizmy transferów wskazano w pkt 7–8.</w:t>
      </w:r>
    </w:p>
    <w:p>
      <w:pPr>
        <w:spacing w:after="120"/>
        <w:widowControl/>
      </w:pPr>
      <w:r>
        <w:rPr>
          <w:color w:val="000000"/>
        </w:rPr>
        <w:t xml:space="preserve">Trwały zapis dopuszczenia Operacji obejmuje hashe i wymagane identyfikatory zamiast pełnego Payloadu. Przed odczytem aplikacyjnym kontrolowane są bieżąca DPA i Delegacja, w granicach pkt 6. Dane techniczne i księgowe podlegają odrębnym okresom retencji. Przy usunięciu wyniku zachowuje się niezależny dowód rozliczenia w niezbędnym zakresie. Po odtworzeniu kopii stosuje się rejestr usunięć. Historyczne artefakty podlegają właściwej retencji.</w:t>
      </w:r>
    </w:p>
    <w:p>
      <w:pPr>
        <w:spacing w:after="120"/>
        <w:widowControl/>
      </w:pPr>
      <w:r>
        <w:rPr>
          <w:color w:val="000000"/>
        </w:rPr>
        <w:t xml:space="preserve">Operator korzysta z uwierzytelnionego dostępu do KSeF i sprawdza uprawnienie do wystawiania faktur. Wynik przyjęcia każdej faktury i UPO ustala się oddzielnie. TaxCoach otrzymuje uzgodniony komplet do 5. dnia następnego miesiąca i potwierdza przyjęcie odpowiedzią. Wewnętrzny alert Operatora nie zastępuje zawiadomienia osoby, Klienta ani organu, które wymaga właściwego adresata i dowodu doręczenia.</w:t>
      </w:r>
    </w:p>
    <w:sectPr>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652" w:footer="65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tbl>
    <w:tblPr>
      <w:tblW w:w="9412" w:type="dxa"/>
      <w:tblInd w:w="120" w:type="dxa"/>
      <w:tblLayout w:type="fixed"/>
      <w:tblLook w:val="04A0"/>
    </w:tblPr>
    <w:tblGrid>
      <w:gridCol w:w="6776"/>
      <w:gridCol w:w="2636"/>
    </w:tblGrid>
    <w:tr>
      <w:tc>
        <w:tcPr>
          <w:tcW w:w="6776" w:type="dxa"/>
          <w:tcMar>
            <w:top w:w="0" w:type="dxa"/>
            <w:left w:w="0" w:type="dxa"/>
            <w:bottom w:w="0" w:type="dxa"/>
            <w:right w:w="0" w:type="dxa"/>
          </w:tcMar>
          <w:vAlign w:val="center"/>
        </w:tcPr>
        <w:p>
          <w:pPr>
            <w:spacing w:after="0"/>
          </w:pPr>
          <w:r>
            <w:rPr>
              <w:rFonts w:eastAsia="Calibri"/>
              <w:b/>
              <w:color w:val="000000"/>
              <w:sz w:val="17"/>
              <w:lang w:val="pl-PL"/>
            </w:rPr>
            <w:t>IntegrityPhase  |  wersja 1.5.2</w:t>
          </w:r>
        </w:p>
      </w:tc>
      <w:tc>
        <w:tcPr>
          <w:tcW w:w="2636" w:type="dxa"/>
          <w:tcMar>
            <w:top w:w="0" w:type="dxa"/>
            <w:left w:w="0" w:type="dxa"/>
            <w:bottom w:w="0" w:type="dxa"/>
            <w:right w:w="0" w:type="dxa"/>
          </w:tcMar>
          <w:vAlign w:val="center"/>
        </w:tcPr>
        <w:p>
          <w:pPr>
            <w:spacing w:after="0"/>
            <w:jc w:val="right"/>
          </w:pPr>
          <w:r>
            <w:rPr>
              <w:rFonts w:eastAsia="Calibri"/>
              <w:color w:val="000000"/>
              <w:sz w:val="17"/>
              <w:lang w:val="pl-PL"/>
            </w:rPr>
            <w:t xml:space="preserve">Strona </w:t>
          </w:r>
          <w:fldSimple w:instr="PAGE">
            <w:r>
              <w:rPr>
                <w:noProof/>
              </w:rPr>
              <w:t>2</w:t>
            </w:r>
          </w:fldSimple>
        </w:p>
      </w:tc>
    </w:tr>
  </w:tbl>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rPr>
        <w:lang w:val="pl-PL"/>
      </w:rPr>
    </w:pPr>
    <w:r>
      <w:rPr>
        <w:rFonts w:eastAsia="Calibri"/>
        <w:b/>
        <w:color w:val="000000"/>
        <w:sz w:val="17"/>
        <w:lang w:val="pl-PL"/>
      </w:rPr>
      <w:t>IntegrityPhase  |  Polityka Prywatności  |  wersja 1.5.2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nsid w:val="0307564A"/>
    <w:multiLevelType w:val="singleLevel"/>
    <w:tmpl w:val="0415000F"/>
    <w:lvl w:ilvl="0">
      <w:start w:val="1"/>
      <w:numFmt w:val="decimal"/>
      <w:lvlText w:val="%1."/>
      <w:lvlJc w:val="left"/>
      <w:pPr>
        <w:tabs>
          <w:tab w:val="num" w:pos="720"/>
        </w:tabs>
        <w:ind w:left="720" w:hanging="360"/>
      </w:pPr>
    </w:lvl>
  </w:abstractNum>
  <w:abstractNum w:abstractNumId="10">
    <w:nsid w:val="12DC2823"/>
    <w:multiLevelType w:val="singleLevel"/>
    <w:tmpl w:val="0415000F"/>
    <w:lvl w:ilvl="0">
      <w:start w:val="1"/>
      <w:numFmt w:val="decimal"/>
      <w:lvlText w:val="%1."/>
      <w:lvlJc w:val="left"/>
      <w:pPr>
        <w:tabs>
          <w:tab w:val="num" w:pos="720"/>
        </w:tabs>
        <w:ind w:left="720" w:hanging="360"/>
      </w:pPr>
    </w:lvl>
  </w:abstractNum>
  <w:abstractNum w:abstractNumId="11">
    <w:nsid w:val="17BF2E6B"/>
    <w:multiLevelType w:val="singleLevel"/>
    <w:tmpl w:val="0415000F"/>
    <w:lvl w:ilvl="0">
      <w:start w:val="1"/>
      <w:numFmt w:val="decimal"/>
      <w:lvlText w:val="%1."/>
      <w:lvlJc w:val="left"/>
      <w:pPr>
        <w:tabs>
          <w:tab w:val="num" w:pos="720"/>
        </w:tabs>
        <w:ind w:left="720" w:hanging="360"/>
      </w:pPr>
    </w:lvl>
  </w:abstractNum>
  <w:abstractNum w:abstractNumId="12">
    <w:nsid w:val="1BF965CE"/>
    <w:multiLevelType w:val="singleLevel"/>
    <w:tmpl w:val="0415000F"/>
    <w:lvl w:ilvl="0">
      <w:start w:val="1"/>
      <w:numFmt w:val="decimal"/>
      <w:lvlText w:val="%1."/>
      <w:lvlJc w:val="left"/>
      <w:pPr>
        <w:tabs>
          <w:tab w:val="num" w:pos="720"/>
        </w:tabs>
        <w:ind w:left="720" w:hanging="360"/>
      </w:pPr>
    </w:lvl>
  </w:abstractNum>
  <w:abstractNum w:abstractNumId="13">
    <w:nsid w:val="23250659"/>
    <w:multiLevelType w:val="multilevel"/>
    <w:tmpl w:val="46A2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3A6D41"/>
    <w:multiLevelType w:val="singleLevel"/>
    <w:tmpl w:val="0415000F"/>
    <w:lvl w:ilvl="0">
      <w:start w:val="1"/>
      <w:numFmt w:val="decimal"/>
      <w:lvlText w:val="%1."/>
      <w:lvlJc w:val="left"/>
      <w:pPr>
        <w:tabs>
          <w:tab w:val="num" w:pos="720"/>
        </w:tabs>
        <w:ind w:left="720" w:hanging="360"/>
      </w:pPr>
    </w:lvl>
  </w:abstractNum>
  <w:abstractNum w:abstractNumId="15">
    <w:nsid w:val="2E250C0A"/>
    <w:multiLevelType w:val="singleLevel"/>
    <w:tmpl w:val="0415000F"/>
    <w:lvl w:ilvl="0">
      <w:start w:val="1"/>
      <w:numFmt w:val="decimal"/>
      <w:lvlText w:val="%1."/>
      <w:lvlJc w:val="left"/>
      <w:pPr>
        <w:tabs>
          <w:tab w:val="num" w:pos="720"/>
        </w:tabs>
        <w:ind w:left="720" w:hanging="360"/>
      </w:pPr>
    </w:lvl>
  </w:abstractNum>
  <w:abstractNum w:abstractNumId="16">
    <w:nsid w:val="34236C5D"/>
    <w:multiLevelType w:val="singleLevel"/>
    <w:tmpl w:val="0D22520C"/>
    <w:lvl w:ilvl="0">
      <w:start w:val="1"/>
      <w:numFmt w:val="bullet"/>
      <w:lvlText w:val="•"/>
      <w:lvlJc w:val="left"/>
      <w:pPr>
        <w:tabs>
          <w:tab w:val="num" w:pos="720"/>
        </w:tabs>
        <w:ind w:left="720" w:hanging="360"/>
      </w:pPr>
    </w:lvl>
  </w:abstractNum>
  <w:abstractNum w:abstractNumId="17">
    <w:nsid w:val="3D011F34"/>
    <w:multiLevelType w:val="singleLevel"/>
    <w:tmpl w:val="0415000F"/>
    <w:lvl w:ilvl="0">
      <w:start w:val="1"/>
      <w:numFmt w:val="decimal"/>
      <w:lvlText w:val="%1."/>
      <w:lvlJc w:val="left"/>
      <w:pPr>
        <w:tabs>
          <w:tab w:val="num" w:pos="720"/>
        </w:tabs>
        <w:ind w:left="720" w:hanging="360"/>
      </w:pPr>
    </w:lvl>
  </w:abstractNum>
  <w:abstractNum w:abstractNumId="18">
    <w:nsid w:val="41801207"/>
    <w:multiLevelType w:val="singleLevel"/>
    <w:tmpl w:val="0415000F"/>
    <w:lvl w:ilvl="0">
      <w:start w:val="1"/>
      <w:numFmt w:val="decimal"/>
      <w:lvlText w:val="%1."/>
      <w:lvlJc w:val="left"/>
      <w:pPr>
        <w:tabs>
          <w:tab w:val="num" w:pos="720"/>
        </w:tabs>
        <w:ind w:left="720" w:hanging="360"/>
      </w:pPr>
    </w:lvl>
  </w:abstractNum>
  <w:abstractNum w:abstractNumId="19">
    <w:nsid w:val="49CC663F"/>
    <w:multiLevelType w:val="singleLevel"/>
    <w:tmpl w:val="0415000F"/>
    <w:lvl w:ilvl="0">
      <w:start w:val="1"/>
      <w:numFmt w:val="decimal"/>
      <w:lvlText w:val="%1."/>
      <w:lvlJc w:val="left"/>
      <w:pPr>
        <w:tabs>
          <w:tab w:val="num" w:pos="720"/>
        </w:tabs>
        <w:ind w:left="720" w:hanging="360"/>
      </w:pPr>
    </w:lvl>
  </w:abstractNum>
  <w:abstractNum w:abstractNumId="20">
    <w:nsid w:val="4EE56D9A"/>
    <w:multiLevelType w:val="singleLevel"/>
    <w:tmpl w:val="10365B82"/>
    <w:lvl w:ilvl="0">
      <w:start w:val="1"/>
      <w:numFmt w:val="bullet"/>
      <w:lvlText w:val="•"/>
      <w:lvlJc w:val="left"/>
      <w:pPr>
        <w:tabs>
          <w:tab w:val="num" w:pos="720"/>
        </w:tabs>
        <w:ind w:left="720" w:hanging="360"/>
      </w:pPr>
    </w:lvl>
  </w:abstractNum>
  <w:abstractNum w:abstractNumId="21">
    <w:nsid w:val="51020ABE"/>
    <w:multiLevelType w:val="singleLevel"/>
    <w:tmpl w:val="0415000F"/>
    <w:lvl w:ilvl="0">
      <w:start w:val="1"/>
      <w:numFmt w:val="decimal"/>
      <w:lvlText w:val="%1."/>
      <w:lvlJc w:val="left"/>
      <w:pPr>
        <w:tabs>
          <w:tab w:val="num" w:pos="720"/>
        </w:tabs>
        <w:ind w:left="720" w:hanging="360"/>
      </w:pPr>
    </w:lvl>
  </w:abstractNum>
  <w:abstractNum w:abstractNumId="22">
    <w:nsid w:val="7580050C"/>
    <w:multiLevelType w:val="singleLevel"/>
    <w:tmpl w:val="0415000F"/>
    <w:lvl w:ilvl="0">
      <w:start w:val="1"/>
      <w:numFmt w:val="decimal"/>
      <w:lvlText w:val="%1."/>
      <w:lvlJc w:val="left"/>
      <w:pPr>
        <w:tabs>
          <w:tab w:val="num" w:pos="720"/>
        </w:tabs>
        <w:ind w:left="720" w:hanging="360"/>
      </w:pPr>
    </w:lvl>
  </w:abstractNum>
  <w:abstractNum w:abstractNumId="23">
    <w:nsid w:val="76626C46"/>
    <w:multiLevelType w:val="singleLevel"/>
    <w:tmpl w:val="0415000F"/>
    <w:lvl w:ilvl="0">
      <w:start w:val="1"/>
      <w:numFmt w:val="decimal"/>
      <w:lvlText w:val="%1."/>
      <w:lvlJc w:val="left"/>
      <w:pPr>
        <w:tabs>
          <w:tab w:val="num" w:pos="720"/>
        </w:tabs>
        <w:ind w:left="720" w:hanging="360"/>
      </w:pPr>
    </w:lvl>
  </w:abstractNum>
  <w:abstractNum w:abstractNumId="24">
    <w:nsid w:val="7FFB0D95"/>
    <w:multiLevelType w:val="singleLevel"/>
    <w:tmpl w:val="0415000F"/>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num>
  <w:num w:numId="11">
    <w:abstractNumId w:val="21"/>
  </w:num>
  <w:num w:numId="12">
    <w:abstractNumId w:val="9"/>
  </w:num>
  <w:num w:numId="13">
    <w:abstractNumId w:val="16"/>
  </w:num>
  <w:num w:numId="14">
    <w:abstractNumId w:val="19"/>
  </w:num>
  <w:num w:numId="15">
    <w:abstractNumId w:val="22"/>
  </w:num>
  <w:num w:numId="16">
    <w:abstractNumId w:val="12"/>
  </w:num>
  <w:num w:numId="17">
    <w:abstractNumId w:val="20"/>
  </w:num>
  <w:num w:numId="18">
    <w:abstractNumId w:val="18"/>
  </w:num>
  <w:num w:numId="19">
    <w:abstractNumId w:val="24"/>
  </w:num>
  <w:num w:numId="20">
    <w:abstractNumId w:val="11"/>
  </w:num>
  <w:num w:numId="21">
    <w:abstractNumId w:val="14"/>
  </w:num>
  <w:num w:numId="22">
    <w:abstractNumId w:val="10"/>
  </w:num>
  <w:num w:numId="23">
    <w:abstractNumId w:val="17"/>
  </w:num>
  <w:num w:numId="24">
    <w:abstractNumId w:val="23"/>
  </w:num>
  <w:num w:numId="2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0B233F"/>
    <w:rsid w:val="0015074B"/>
    <w:rsid w:val="001846F0"/>
    <w:rsid w:val="0029639D"/>
    <w:rsid w:val="002D37C2"/>
    <w:rsid w:val="002D64EF"/>
    <w:rsid w:val="00326F90"/>
    <w:rsid w:val="0032759E"/>
    <w:rsid w:val="004F54F6"/>
    <w:rsid w:val="0055448B"/>
    <w:rsid w:val="005D04FE"/>
    <w:rsid w:val="00653EC9"/>
    <w:rsid w:val="008B7A79"/>
    <w:rsid w:val="00AA1D8D"/>
    <w:rsid w:val="00AC218C"/>
    <w:rsid w:val="00AC2584"/>
    <w:rsid w:val="00B07BE9"/>
    <w:rsid w:val="00B47730"/>
    <w:rsid w:val="00C7336C"/>
    <w:rsid w:val="00CB0664"/>
    <w:rsid w:val="00F311C7"/>
    <w:rsid w:val="00F37A2E"/>
    <w:rsid w:val="00FC693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64" w:lineRule="auto"/>
    </w:pPr>
    <w:rPr>
      <w:rFonts w:ascii="Calibri" w:hAnsi="Calibri"/>
      <w:sz w:val="21"/>
      <w:szCs w:val="22"/>
      <w:lang w:val="en-US" w:eastAsia="en-US"/>
    </w:rPr>
  </w:style>
  <w:style w:type="paragraph" w:styleId="Nagwek1">
    <w:name w:val="heading 1"/>
    <w:basedOn w:val="Normalny"/>
    <w:next w:val="Normalny"/>
    <w:link w:val="Nagwek1Znak"/>
    <w:uiPriority w:val="9"/>
    <w:qFormat/>
    <w:rsid w:val="00FC693F"/>
    <w:pPr>
      <w:keepNext/>
      <w:keepLines/>
      <w:spacing w:before="320" w:after="160"/>
      <w:outlineLvl w:val="0"/>
    </w:pPr>
    <w:rPr>
      <w:rFonts w:eastAsia="MS Gothic"/>
      <w:b/>
      <w:bCs/>
      <w:color w:val="000000"/>
      <w:sz w:val="32"/>
      <w:szCs w:val="28"/>
    </w:rPr>
  </w:style>
  <w:style w:type="paragraph" w:styleId="Nagwek2">
    <w:name w:val="heading 2"/>
    <w:basedOn w:val="Normalny"/>
    <w:next w:val="Normalny"/>
    <w:link w:val="Nagwek2Znak"/>
    <w:uiPriority w:val="9"/>
    <w:unhideWhenUsed/>
    <w:qFormat/>
    <w:rsid w:val="00FC693F"/>
    <w:pPr>
      <w:keepNext/>
      <w:keepLines/>
      <w:spacing w:before="240" w:after="120"/>
      <w:outlineLvl w:val="1"/>
    </w:pPr>
    <w:rPr>
      <w:rFonts w:eastAsia="MS Gothic"/>
      <w:b/>
      <w:bCs/>
      <w:color w:val="000000"/>
      <w:sz w:val="26"/>
      <w:szCs w:val="26"/>
    </w:rPr>
  </w:style>
  <w:style w:type="paragraph" w:styleId="Nagwek3">
    <w:name w:val="heading 3"/>
    <w:basedOn w:val="Normalny"/>
    <w:next w:val="Normalny"/>
    <w:link w:val="Nagwek3Znak"/>
    <w:uiPriority w:val="9"/>
    <w:unhideWhenUsed/>
    <w:qFormat/>
    <w:rsid w:val="00FC693F"/>
    <w:pPr>
      <w:keepNext/>
      <w:keepLines/>
      <w:spacing w:before="160" w:after="80"/>
      <w:outlineLvl w:val="2"/>
    </w:pPr>
    <w:rPr>
      <w:rFonts w:eastAsia="MS Gothic"/>
      <w:b/>
      <w:bCs/>
      <w:color w:val="000000"/>
      <w:sz w:val="24"/>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eastAsia="MS Gothic"/>
      <w:b/>
      <w:bCs/>
      <w:i/>
      <w:iCs/>
      <w:color w:val="000000"/>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eastAsia="MS Gothic"/>
      <w:color w:val="000000"/>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eastAsia="MS Gothic"/>
      <w:i/>
      <w:iCs/>
      <w:color w:val="000000"/>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eastAsia="MS Gothic"/>
      <w:i/>
      <w:iCs/>
      <w:color w:val="000000"/>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eastAsia="MS Gothic"/>
      <w:color w:val="000000"/>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eastAsia="MS Gothic"/>
      <w:i/>
      <w:iCs/>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rPr>
      <w:sz w:val="22"/>
      <w:szCs w:val="22"/>
      <w:lang w:val="en-US" w:eastAsia="en-US"/>
    </w:rPr>
  </w:style>
  <w:style w:type="character" w:customStyle="1" w:styleId="Nagwek1Znak">
    <w:name w:val="Nagłówek 1 Znak"/>
    <w:link w:val="Nagwek1"/>
    <w:uiPriority w:val="9"/>
    <w:rsid w:val="00FC693F"/>
    <w:rPr>
      <w:rFonts w:ascii="Calibri" w:eastAsia="MS Gothic" w:hAnsi="Calibri" w:cs="Times New Roman"/>
      <w:b/>
      <w:bCs/>
      <w:color w:val="000000"/>
      <w:sz w:val="28"/>
      <w:szCs w:val="28"/>
    </w:rPr>
  </w:style>
  <w:style w:type="character" w:customStyle="1" w:styleId="Nagwek2Znak">
    <w:name w:val="Nagłówek 2 Znak"/>
    <w:link w:val="Nagwek2"/>
    <w:uiPriority w:val="9"/>
    <w:rsid w:val="00FC693F"/>
    <w:rPr>
      <w:rFonts w:ascii="Calibri" w:eastAsia="MS Gothic" w:hAnsi="Calibri" w:cs="Times New Roman"/>
      <w:b/>
      <w:bCs/>
      <w:color w:val="000000"/>
      <w:sz w:val="26"/>
      <w:szCs w:val="26"/>
    </w:rPr>
  </w:style>
  <w:style w:type="character" w:customStyle="1" w:styleId="Nagwek3Znak">
    <w:name w:val="Nagłówek 3 Znak"/>
    <w:link w:val="Nagwek3"/>
    <w:uiPriority w:val="9"/>
    <w:rsid w:val="00FC693F"/>
    <w:rPr>
      <w:rFonts w:ascii="Calibri" w:eastAsia="MS Gothic" w:hAnsi="Calibri" w:cs="Times New Roman"/>
      <w:b/>
      <w:bCs/>
      <w:color w:val="000000"/>
    </w:rPr>
  </w:style>
  <w:style w:type="paragraph" w:styleId="Tytu">
    <w:name w:val="Title"/>
    <w:basedOn w:val="Normalny"/>
    <w:next w:val="Normalny"/>
    <w:link w:val="TytuZnak"/>
    <w:uiPriority w:val="10"/>
    <w:qFormat/>
    <w:rsid w:val="00FC693F"/>
    <w:pPr>
      <w:spacing w:after="300" w:line="240" w:lineRule="auto"/>
      <w:contextualSpacing/>
    </w:pPr>
    <w:rPr>
      <w:rFonts w:eastAsia="MS Gothic"/>
      <w:color w:val="000000"/>
      <w:spacing w:val="5"/>
      <w:kern w:val="28"/>
      <w:sz w:val="52"/>
      <w:szCs w:val="52"/>
    </w:rPr>
  </w:style>
  <w:style w:type="character" w:customStyle="1" w:styleId="TytuZnak">
    <w:name w:val="Tytuł Znak"/>
    <w:link w:val="Tytu"/>
    <w:uiPriority w:val="10"/>
    <w:rsid w:val="00FC693F"/>
    <w:rPr>
      <w:rFonts w:ascii="Calibri" w:eastAsia="MS Gothic" w:hAnsi="Calibri" w:cs="Times New Roman"/>
      <w:color w:val="000000"/>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eastAsia="MS Gothic"/>
      <w:i/>
      <w:iCs/>
      <w:color w:val="000000"/>
      <w:spacing w:val="15"/>
      <w:sz w:val="24"/>
      <w:szCs w:val="24"/>
    </w:rPr>
  </w:style>
  <w:style w:type="character" w:customStyle="1" w:styleId="PodtytuZnak">
    <w:name w:val="Podtytuł Znak"/>
    <w:link w:val="Podtytu"/>
    <w:uiPriority w:val="11"/>
    <w:rsid w:val="00FC693F"/>
    <w:rPr>
      <w:rFonts w:ascii="Calibri" w:eastAsia="MS Gothic" w:hAnsi="Calibri" w:cs="Times New Roman"/>
      <w:i/>
      <w:iCs/>
      <w:color w:val="000000"/>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customStyle="1" w:styleId="TekstmakraZnak">
    <w:name w:val="Tekst makra Znak"/>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rPr>
  </w:style>
  <w:style w:type="character" w:customStyle="1" w:styleId="CytatZnak">
    <w:name w:val="Cytat Znak"/>
    <w:link w:val="Cytat"/>
    <w:uiPriority w:val="29"/>
    <w:rsid w:val="00FC693F"/>
    <w:rPr>
      <w:i/>
      <w:iCs/>
      <w:color w:val="000000"/>
    </w:rPr>
  </w:style>
  <w:style w:type="character" w:customStyle="1" w:styleId="Nagwek4Znak">
    <w:name w:val="Nagłówek 4 Znak"/>
    <w:link w:val="Nagwek4"/>
    <w:uiPriority w:val="9"/>
    <w:semiHidden/>
    <w:rsid w:val="00FC693F"/>
    <w:rPr>
      <w:rFonts w:ascii="Calibri" w:eastAsia="MS Gothic" w:hAnsi="Calibri" w:cs="Times New Roman"/>
      <w:b/>
      <w:bCs/>
      <w:i/>
      <w:iCs/>
      <w:color w:val="000000"/>
    </w:rPr>
  </w:style>
  <w:style w:type="character" w:customStyle="1" w:styleId="Nagwek5Znak">
    <w:name w:val="Nagłówek 5 Znak"/>
    <w:link w:val="Nagwek5"/>
    <w:uiPriority w:val="9"/>
    <w:semiHidden/>
    <w:rsid w:val="00FC693F"/>
    <w:rPr>
      <w:rFonts w:ascii="Calibri" w:eastAsia="MS Gothic" w:hAnsi="Calibri" w:cs="Times New Roman"/>
      <w:color w:val="000000"/>
    </w:rPr>
  </w:style>
  <w:style w:type="character" w:customStyle="1" w:styleId="Nagwek6Znak">
    <w:name w:val="Nagłówek 6 Znak"/>
    <w:link w:val="Nagwek6"/>
    <w:uiPriority w:val="9"/>
    <w:semiHidden/>
    <w:rsid w:val="00FC693F"/>
    <w:rPr>
      <w:rFonts w:ascii="Calibri" w:eastAsia="MS Gothic" w:hAnsi="Calibri" w:cs="Times New Roman"/>
      <w:i/>
      <w:iCs/>
      <w:color w:val="000000"/>
    </w:rPr>
  </w:style>
  <w:style w:type="character" w:customStyle="1" w:styleId="Nagwek7Znak">
    <w:name w:val="Nagłówek 7 Znak"/>
    <w:link w:val="Nagwek7"/>
    <w:uiPriority w:val="9"/>
    <w:semiHidden/>
    <w:rsid w:val="00FC693F"/>
    <w:rPr>
      <w:rFonts w:ascii="Calibri" w:eastAsia="MS Gothic" w:hAnsi="Calibri" w:cs="Times New Roman"/>
      <w:i/>
      <w:iCs/>
      <w:color w:val="000000"/>
    </w:rPr>
  </w:style>
  <w:style w:type="character" w:customStyle="1" w:styleId="Nagwek8Znak">
    <w:name w:val="Nagłówek 8 Znak"/>
    <w:link w:val="Nagwek8"/>
    <w:uiPriority w:val="9"/>
    <w:semiHidden/>
    <w:rsid w:val="00FC693F"/>
    <w:rPr>
      <w:rFonts w:ascii="Calibri" w:eastAsia="MS Gothic" w:hAnsi="Calibri" w:cs="Times New Roman"/>
      <w:color w:val="000000"/>
      <w:sz w:val="20"/>
      <w:szCs w:val="20"/>
    </w:rPr>
  </w:style>
  <w:style w:type="character" w:customStyle="1" w:styleId="Nagwek9Znak">
    <w:name w:val="Nagłówek 9 Znak"/>
    <w:link w:val="Nagwek9"/>
    <w:uiPriority w:val="9"/>
    <w:semiHidden/>
    <w:rsid w:val="00FC693F"/>
    <w:rPr>
      <w:rFonts w:ascii="Calibri" w:eastAsia="MS Gothic" w:hAnsi="Calibri" w:cs="Times New Roman"/>
      <w:i/>
      <w:iCs/>
      <w:color w:val="000000"/>
      <w:sz w:val="20"/>
      <w:szCs w:val="20"/>
    </w:rPr>
  </w:style>
  <w:style w:type="paragraph" w:styleId="Legenda">
    <w:name w:val="caption"/>
    <w:basedOn w:val="Normalny"/>
    <w:next w:val="Normalny"/>
    <w:uiPriority w:val="35"/>
    <w:semiHidden/>
    <w:unhideWhenUsed/>
    <w:qFormat/>
    <w:rsid w:val="00FC693F"/>
    <w:pPr>
      <w:spacing w:line="240" w:lineRule="auto"/>
    </w:pPr>
    <w:rPr>
      <w:b/>
      <w:bCs/>
      <w:color w:val="000000"/>
      <w:sz w:val="18"/>
      <w:szCs w:val="18"/>
    </w:rPr>
  </w:style>
  <w:style w:type="character" w:styleId="Pogrubienie">
    <w:name w:val="Strong"/>
    <w:uiPriority w:val="22"/>
    <w:qFormat/>
    <w:rsid w:val="00FC693F"/>
    <w:rPr>
      <w:b/>
      <w:bCs/>
    </w:rPr>
  </w:style>
  <w:style w:type="character" w:styleId="Uwydatnienie">
    <w:name w:val="Emphasis"/>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pBdr>
      <w:spacing w:before="200" w:after="280"/>
      <w:ind w:left="936" w:right="936"/>
    </w:pPr>
    <w:rPr>
      <w:b/>
      <w:bCs/>
      <w:i/>
      <w:iCs/>
      <w:color w:val="000000"/>
    </w:rPr>
  </w:style>
  <w:style w:type="character" w:customStyle="1" w:styleId="CytatintensywnyZnak">
    <w:name w:val="Cytat intensywny Znak"/>
    <w:link w:val="Cytatintensywny"/>
    <w:uiPriority w:val="30"/>
    <w:rsid w:val="00FC693F"/>
    <w:rPr>
      <w:b/>
      <w:bCs/>
      <w:i/>
      <w:iCs/>
      <w:color w:val="000000"/>
    </w:rPr>
  </w:style>
  <w:style w:type="character" w:styleId="Wyrnieniedelikatne">
    <w:name w:val="Subtle Emphasis"/>
    <w:uiPriority w:val="19"/>
    <w:qFormat/>
    <w:rsid w:val="00FC693F"/>
    <w:rPr>
      <w:i/>
      <w:iCs/>
      <w:color w:val="000000"/>
    </w:rPr>
  </w:style>
  <w:style w:type="character" w:styleId="Wyrnienieintensywne">
    <w:name w:val="Intense Emphasis"/>
    <w:uiPriority w:val="21"/>
    <w:qFormat/>
    <w:rsid w:val="00FC693F"/>
    <w:rPr>
      <w:b/>
      <w:bCs/>
      <w:i/>
      <w:iCs/>
      <w:color w:val="000000"/>
    </w:rPr>
  </w:style>
  <w:style w:type="character" w:styleId="Odwoaniedelikatne">
    <w:name w:val="Subtle Reference"/>
    <w:uiPriority w:val="31"/>
    <w:qFormat/>
    <w:rsid w:val="00FC693F"/>
    <w:rPr>
      <w:smallCaps/>
      <w:color w:val="000000"/>
      <w:u w:val="single"/>
    </w:rPr>
  </w:style>
  <w:style w:type="character" w:styleId="Odwoanieintensywne">
    <w:name w:val="Intense Reference"/>
    <w:uiPriority w:val="32"/>
    <w:qFormat/>
    <w:rsid w:val="00FC693F"/>
    <w:rPr>
      <w:b/>
      <w:bCs/>
      <w:smallCaps/>
      <w:color w:val="000000"/>
      <w:spacing w:val="5"/>
      <w:u w:val="single"/>
    </w:rPr>
  </w:style>
  <w:style w:type="character" w:styleId="Tytuksiki">
    <w:name w:val="Book Title"/>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Jasnecieniowanie1">
    <w:name w:val="Jasne cieniowanie1"/>
    <w:basedOn w:val="Standardowy"/>
    <w:uiPriority w:val="60"/>
    <w:rsid w:val="00FC693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akcent11">
    <w:name w:val="Jasne cieniowanie — akcent 11"/>
    <w:basedOn w:val="Standardowy"/>
    <w:uiPriority w:val="60"/>
    <w:rsid w:val="00FC693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Jasnecieniowanieakcent2">
    <w:name w:val="Light Shading Accent 2"/>
    <w:basedOn w:val="Standardowy"/>
    <w:uiPriority w:val="60"/>
    <w:rsid w:val="00FC693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Jasnecieniowanieakcent3">
    <w:name w:val="Light Shading Accent 3"/>
    <w:basedOn w:val="Standardowy"/>
    <w:uiPriority w:val="60"/>
    <w:rsid w:val="00FC693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Jasnecieniowanieakcent4">
    <w:name w:val="Light Shading Accent 4"/>
    <w:basedOn w:val="Standardowy"/>
    <w:uiPriority w:val="60"/>
    <w:rsid w:val="00FC693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Jasnecieniowanieakcent5">
    <w:name w:val="Light Shading Accent 5"/>
    <w:basedOn w:val="Standardowy"/>
    <w:uiPriority w:val="60"/>
    <w:rsid w:val="00FC693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Jasnecieniowanieakcent6">
    <w:name w:val="Light Shading Accent 6"/>
    <w:basedOn w:val="Standardowy"/>
    <w:uiPriority w:val="60"/>
    <w:rsid w:val="00FC693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Jasnalista1">
    <w:name w:val="Jasna lista1"/>
    <w:basedOn w:val="Standardowy"/>
    <w:uiPriority w:val="61"/>
    <w:rsid w:val="00FC693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listaakcent11">
    <w:name w:val="Jasna lista — akcent 11"/>
    <w:basedOn w:val="Standardowy"/>
    <w:uiPriority w:val="61"/>
    <w:rsid w:val="00FC693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Jasnasiatka1">
    <w:name w:val="Jasna siatka1"/>
    <w:basedOn w:val="Standardowy"/>
    <w:uiPriority w:val="62"/>
    <w:rsid w:val="00CB06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siatkaakcent11">
    <w:name w:val="Jasna siatka — akcent 11"/>
    <w:basedOn w:val="Standardowy"/>
    <w:uiPriority w:val="62"/>
    <w:rsid w:val="00CB06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redniecieniowanie11">
    <w:name w:val="Średnie cieniowanie 11"/>
    <w:basedOn w:val="Standardowy"/>
    <w:uiPriority w:val="63"/>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redniecieniowanie1akcent11">
    <w:name w:val="Średnie cieniowanie 1 — akcent 11"/>
    <w:basedOn w:val="Standardowy"/>
    <w:uiPriority w:val="63"/>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redniecieniowanie21">
    <w:name w:val="Średnie cieniowanie 2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000000"/>
      </w:tcPr>
    </w:tblStylePr>
    <w:tblStylePr w:type="lastCol">
      <w:rPr>
        <w:b/>
        <w:bCs/>
        <w:color w:val="000000"/>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customStyle="1" w:styleId="redniecieniowanie2akcent11">
    <w:name w:val="Średnie cieniowanie 2 — akcent 1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4F81BD"/>
      </w:tcPr>
    </w:tblStylePr>
    <w:tblStylePr w:type="lastCol">
      <w:rPr>
        <w:b/>
        <w:bCs/>
        <w:color w:val="000000"/>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C0504D"/>
      </w:tcPr>
    </w:tblStylePr>
    <w:tblStylePr w:type="lastCol">
      <w:rPr>
        <w:b/>
        <w:bCs/>
        <w:color w:val="000000"/>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9BBB59"/>
      </w:tcPr>
    </w:tblStylePr>
    <w:tblStylePr w:type="lastCol">
      <w:rPr>
        <w:b/>
        <w:bCs/>
        <w:color w:val="000000"/>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8064A2"/>
      </w:tcPr>
    </w:tblStylePr>
    <w:tblStylePr w:type="lastCol">
      <w:rPr>
        <w:b/>
        <w:bCs/>
        <w:color w:val="000000"/>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4BACC6"/>
      </w:tcPr>
    </w:tblStylePr>
    <w:tblStylePr w:type="lastCol">
      <w:rPr>
        <w:b/>
        <w:bCs/>
        <w:color w:val="000000"/>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F79646"/>
      </w:tcPr>
    </w:tblStylePr>
    <w:tblStylePr w:type="lastCol">
      <w:rPr>
        <w:b/>
        <w:bCs/>
        <w:color w:val="000000"/>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customStyle="1" w:styleId="rednialista11">
    <w:name w:val="Średnia lista 11"/>
    <w:basedOn w:val="Standardowy"/>
    <w:uiPriority w:val="65"/>
    <w:rsid w:val="00CB06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b/>
        <w:bCs/>
        <w:color w:val="000000"/>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rednialista1akcent11">
    <w:name w:val="Średnia lista 1 — akcent 11"/>
    <w:basedOn w:val="Standardowy"/>
    <w:uiPriority w:val="65"/>
    <w:rsid w:val="00CB06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b/>
        <w:bCs/>
        <w:color w:val="000000"/>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rednialista1akcent2">
    <w:name w:val="Medium List 1 Accent 2"/>
    <w:basedOn w:val="Standardowy"/>
    <w:uiPriority w:val="65"/>
    <w:rsid w:val="00CB06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b/>
        <w:bCs/>
        <w:color w:val="000000"/>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rednialista1akcent3">
    <w:name w:val="Medium List 1 Accent 3"/>
    <w:basedOn w:val="Standardowy"/>
    <w:uiPriority w:val="65"/>
    <w:rsid w:val="00CB06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b/>
        <w:bCs/>
        <w:color w:val="000000"/>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rednialista1akcent4">
    <w:name w:val="Medium List 1 Accent 4"/>
    <w:basedOn w:val="Standardowy"/>
    <w:uiPriority w:val="65"/>
    <w:rsid w:val="00CB06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b/>
        <w:bCs/>
        <w:color w:val="000000"/>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rednialista1akcent5">
    <w:name w:val="Medium List 1 Accent 5"/>
    <w:basedOn w:val="Standardowy"/>
    <w:uiPriority w:val="65"/>
    <w:rsid w:val="00CB06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b/>
        <w:bCs/>
        <w:color w:val="000000"/>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rednialista1akcent6">
    <w:name w:val="Medium List 1 Accent 6"/>
    <w:basedOn w:val="Standardowy"/>
    <w:uiPriority w:val="65"/>
    <w:rsid w:val="00CB06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b/>
        <w:bCs/>
        <w:color w:val="000000"/>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rednialista21">
    <w:name w:val="Średnia lista 21"/>
    <w:basedOn w:val="Standardowy"/>
    <w:uiPriority w:val="66"/>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rednialista2akcent1">
    <w:name w:val="Medium List 2 Accent 1"/>
    <w:basedOn w:val="Standardowy"/>
    <w:uiPriority w:val="66"/>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rednialista2akcent2">
    <w:name w:val="Medium List 2 Accent 2"/>
    <w:basedOn w:val="Standardowy"/>
    <w:uiPriority w:val="66"/>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rednialista2akcent3">
    <w:name w:val="Medium List 2 Accent 3"/>
    <w:basedOn w:val="Standardowy"/>
    <w:uiPriority w:val="66"/>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rednialista2akcent4">
    <w:name w:val="Medium List 2 Accent 4"/>
    <w:basedOn w:val="Standardowy"/>
    <w:uiPriority w:val="66"/>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rednialista2akcent5">
    <w:name w:val="Medium List 2 Accent 5"/>
    <w:basedOn w:val="Standardowy"/>
    <w:uiPriority w:val="66"/>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rednialista2akcent6">
    <w:name w:val="Medium List 2 Accent 6"/>
    <w:basedOn w:val="Standardowy"/>
    <w:uiPriority w:val="66"/>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redniasiatka11">
    <w:name w:val="Średnia siatka 11"/>
    <w:basedOn w:val="Standardowy"/>
    <w:uiPriority w:val="67"/>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redniasiatka21">
    <w:name w:val="Średnia siatka 21"/>
    <w:basedOn w:val="Standardowy"/>
    <w:uiPriority w:val="68"/>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redniasiatka2akcent1">
    <w:name w:val="Medium Grid 2 Accent 1"/>
    <w:basedOn w:val="Standardowy"/>
    <w:uiPriority w:val="68"/>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redniasiatka2akcent2">
    <w:name w:val="Medium Grid 2 Accent 2"/>
    <w:basedOn w:val="Standardowy"/>
    <w:uiPriority w:val="68"/>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redniasiatka2akcent3">
    <w:name w:val="Medium Grid 2 Accent 3"/>
    <w:basedOn w:val="Standardowy"/>
    <w:uiPriority w:val="68"/>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redniasiatka2akcent4">
    <w:name w:val="Medium Grid 2 Accent 4"/>
    <w:basedOn w:val="Standardowy"/>
    <w:uiPriority w:val="68"/>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redniasiatka2akcent5">
    <w:name w:val="Medium Grid 2 Accent 5"/>
    <w:basedOn w:val="Standardowy"/>
    <w:uiPriority w:val="68"/>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redniasiatka2akcent6">
    <w:name w:val="Medium Grid 2 Accent 6"/>
    <w:basedOn w:val="Standardowy"/>
    <w:uiPriority w:val="68"/>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redniasiatka31">
    <w:name w:val="Średnia siatka 31"/>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iemnalista1">
    <w:name w:val="Ciemna lista1"/>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iemnalista2akcent1">
    <w:name w:val="Dark List Accent 1"/>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Ciemnalistaakcent2">
    <w:name w:val="Dark List Accent 2"/>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iemnalistaakcent3">
    <w:name w:val="Dark List Accent 3"/>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Ciemnalistaakcent4">
    <w:name w:val="Dark List Accent 4"/>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Ciemnalistaakcent5">
    <w:name w:val="Dark List Accent 5"/>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Ciemnalistaakcent6">
    <w:name w:val="Dark List Accent 6"/>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Kolorowecieniowanie1">
    <w:name w:val="Kolorowe cieniowanie1"/>
    <w:basedOn w:val="Standardowy"/>
    <w:uiPriority w:val="71"/>
    <w:rsid w:val="00CB06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000000"/>
      </w:tcPr>
    </w:tblStylePr>
    <w:tblStylePr w:type="firstCol">
      <w:rPr>
        <w:color w:val="000000"/>
      </w:rPr>
      <w:tblPr/>
      <w:tcPr>
        <w:tcBorders>
          <w:top w:val="nil"/>
          <w:left w:val="nil"/>
          <w:bottom w:val="nil"/>
          <w:right w:val="nil"/>
          <w:insideH w:val="single" w:sz="4" w:space="0" w:color="000000"/>
          <w:insideV w:val="nil"/>
        </w:tcBorders>
        <w:shd w:val="clear" w:color="auto" w:fill="000000"/>
      </w:tcPr>
    </w:tblStylePr>
    <w:tblStylePr w:type="lastCol">
      <w:rPr>
        <w:color w:val="000000"/>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olorowecieniowanieakcent1">
    <w:name w:val="Colorful Shading Accent 1"/>
    <w:basedOn w:val="Standardowy"/>
    <w:uiPriority w:val="71"/>
    <w:rsid w:val="00CB06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2C4C74"/>
      </w:tcPr>
    </w:tblStylePr>
    <w:tblStylePr w:type="firstCol">
      <w:rPr>
        <w:color w:val="000000"/>
      </w:rPr>
      <w:tblPr/>
      <w:tcPr>
        <w:tcBorders>
          <w:top w:val="nil"/>
          <w:left w:val="nil"/>
          <w:bottom w:val="nil"/>
          <w:right w:val="nil"/>
          <w:insideH w:val="single" w:sz="4" w:space="0" w:color="2C4C74"/>
          <w:insideV w:val="nil"/>
        </w:tcBorders>
        <w:shd w:val="clear" w:color="auto" w:fill="2C4C74"/>
      </w:tcPr>
    </w:tblStylePr>
    <w:tblStylePr w:type="lastCol">
      <w:rPr>
        <w:color w:val="000000"/>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Kolorowecieniowanieakcent2">
    <w:name w:val="Colorful Shading Accent 2"/>
    <w:basedOn w:val="Standardowy"/>
    <w:uiPriority w:val="71"/>
    <w:rsid w:val="00CB06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772C2A"/>
      </w:tcPr>
    </w:tblStylePr>
    <w:tblStylePr w:type="firstCol">
      <w:rPr>
        <w:color w:val="000000"/>
      </w:rPr>
      <w:tblPr/>
      <w:tcPr>
        <w:tcBorders>
          <w:top w:val="nil"/>
          <w:left w:val="nil"/>
          <w:bottom w:val="nil"/>
          <w:right w:val="nil"/>
          <w:insideH w:val="single" w:sz="4" w:space="0" w:color="772C2A"/>
          <w:insideV w:val="nil"/>
        </w:tcBorders>
        <w:shd w:val="clear" w:color="auto" w:fill="772C2A"/>
      </w:tcPr>
    </w:tblStylePr>
    <w:tblStylePr w:type="lastCol">
      <w:rPr>
        <w:color w:val="000000"/>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Kolorowecieniowanieakcent3">
    <w:name w:val="Colorful Shading Accent 3"/>
    <w:basedOn w:val="Standardowy"/>
    <w:uiPriority w:val="71"/>
    <w:rsid w:val="00CB06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5E7530"/>
      </w:tcPr>
    </w:tblStylePr>
    <w:tblStylePr w:type="firstCol">
      <w:rPr>
        <w:color w:val="000000"/>
      </w:rPr>
      <w:tblPr/>
      <w:tcPr>
        <w:tcBorders>
          <w:top w:val="nil"/>
          <w:left w:val="nil"/>
          <w:bottom w:val="nil"/>
          <w:right w:val="nil"/>
          <w:insideH w:val="single" w:sz="4" w:space="0" w:color="5E7530"/>
          <w:insideV w:val="nil"/>
        </w:tcBorders>
        <w:shd w:val="clear" w:color="auto" w:fill="5E7530"/>
      </w:tcPr>
    </w:tblStylePr>
    <w:tblStylePr w:type="lastCol">
      <w:rPr>
        <w:color w:val="000000"/>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Kolorowecieniowanieakcent4">
    <w:name w:val="Colorful Shading Accent 4"/>
    <w:basedOn w:val="Standardowy"/>
    <w:uiPriority w:val="71"/>
    <w:rsid w:val="00CB06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4C3B62"/>
      </w:tcPr>
    </w:tblStylePr>
    <w:tblStylePr w:type="firstCol">
      <w:rPr>
        <w:color w:val="000000"/>
      </w:rPr>
      <w:tblPr/>
      <w:tcPr>
        <w:tcBorders>
          <w:top w:val="nil"/>
          <w:left w:val="nil"/>
          <w:bottom w:val="nil"/>
          <w:right w:val="nil"/>
          <w:insideH w:val="single" w:sz="4" w:space="0" w:color="4C3B62"/>
          <w:insideV w:val="nil"/>
        </w:tcBorders>
        <w:shd w:val="clear" w:color="auto" w:fill="4C3B62"/>
      </w:tcPr>
    </w:tblStylePr>
    <w:tblStylePr w:type="lastCol">
      <w:rPr>
        <w:color w:val="000000"/>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Kolorowecieniowanieakcent5">
    <w:name w:val="Colorful Shading Accent 5"/>
    <w:basedOn w:val="Standardowy"/>
    <w:uiPriority w:val="71"/>
    <w:rsid w:val="00CB06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276A7C"/>
      </w:tcPr>
    </w:tblStylePr>
    <w:tblStylePr w:type="firstCol">
      <w:rPr>
        <w:color w:val="000000"/>
      </w:rPr>
      <w:tblPr/>
      <w:tcPr>
        <w:tcBorders>
          <w:top w:val="nil"/>
          <w:left w:val="nil"/>
          <w:bottom w:val="nil"/>
          <w:right w:val="nil"/>
          <w:insideH w:val="single" w:sz="4" w:space="0" w:color="276A7C"/>
          <w:insideV w:val="nil"/>
        </w:tcBorders>
        <w:shd w:val="clear" w:color="auto" w:fill="276A7C"/>
      </w:tcPr>
    </w:tblStylePr>
    <w:tblStylePr w:type="lastCol">
      <w:rPr>
        <w:color w:val="000000"/>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71"/>
    <w:rsid w:val="00CB06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B65608"/>
      </w:tcPr>
    </w:tblStylePr>
    <w:tblStylePr w:type="firstCol">
      <w:rPr>
        <w:color w:val="000000"/>
      </w:rPr>
      <w:tblPr/>
      <w:tcPr>
        <w:tcBorders>
          <w:top w:val="nil"/>
          <w:left w:val="nil"/>
          <w:bottom w:val="nil"/>
          <w:right w:val="nil"/>
          <w:insideH w:val="single" w:sz="4" w:space="0" w:color="B65608"/>
          <w:insideV w:val="nil"/>
        </w:tcBorders>
        <w:shd w:val="clear" w:color="auto" w:fill="B65608"/>
      </w:tcPr>
    </w:tblStylePr>
    <w:tblStylePr w:type="lastCol">
      <w:rPr>
        <w:color w:val="000000"/>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Kolorowalista1">
    <w:name w:val="Kolorowa lista1"/>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olorowalistaakcent1">
    <w:name w:val="Colorful List Accent 1"/>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olorowalistaakcent2">
    <w:name w:val="Colorful List Accent 2"/>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olorowalistaakcent3">
    <w:name w:val="Colorful List Accent 3"/>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000000"/>
      </w:rPr>
      <w:tblPr/>
      <w:tcPr>
        <w:tcBorders>
          <w:bottom w:val="single" w:sz="12" w:space="0" w:color="FFFFFF"/>
        </w:tcBorders>
        <w:shd w:val="clear" w:color="auto" w:fill="664E82"/>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Kolorowalistaakcent4">
    <w:name w:val="Colorful List Accent 4"/>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000000"/>
      </w:rPr>
      <w:tblPr/>
      <w:tcPr>
        <w:tcBorders>
          <w:bottom w:val="single" w:sz="12" w:space="0" w:color="FFFFFF"/>
        </w:tcBorders>
        <w:shd w:val="clear" w:color="auto" w:fill="7E9C40"/>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Kolorowalistaakcent5">
    <w:name w:val="Colorful List Accent 5"/>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000000"/>
      </w:rPr>
      <w:tblPr/>
      <w:tcPr>
        <w:tcBorders>
          <w:bottom w:val="single" w:sz="12" w:space="0" w:color="FFFFFF"/>
        </w:tcBorders>
        <w:shd w:val="clear" w:color="auto" w:fill="F2730A"/>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Kolorowalistaakcent6">
    <w:name w:val="Colorful List Accent 6"/>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000000"/>
      </w:rPr>
      <w:tblPr/>
      <w:tcPr>
        <w:tcBorders>
          <w:bottom w:val="single" w:sz="12" w:space="0" w:color="FFFFFF"/>
        </w:tcBorders>
        <w:shd w:val="clear" w:color="auto" w:fill="348DA5"/>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Kolorowasiatka1">
    <w:name w:val="Kolorowa siatka1"/>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0000"/>
      </w:rPr>
      <w:tblPr/>
      <w:tcPr>
        <w:shd w:val="clear" w:color="auto" w:fill="000000"/>
      </w:tcPr>
    </w:tblStylePr>
    <w:tblStylePr w:type="lastCol">
      <w:rPr>
        <w:color w:val="000000"/>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olorowasiatkaakcent1">
    <w:name w:val="Colorful Grid Accent 1"/>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000000"/>
      </w:rPr>
      <w:tblPr/>
      <w:tcPr>
        <w:shd w:val="clear" w:color="auto" w:fill="365F91"/>
      </w:tcPr>
    </w:tblStylePr>
    <w:tblStylePr w:type="lastCol">
      <w:rPr>
        <w:color w:val="000000"/>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olorowasiatkaakcent2">
    <w:name w:val="Colorful Grid Accent 2"/>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000000"/>
      </w:rPr>
      <w:tblPr/>
      <w:tcPr>
        <w:shd w:val="clear" w:color="auto" w:fill="943634"/>
      </w:tcPr>
    </w:tblStylePr>
    <w:tblStylePr w:type="lastCol">
      <w:rPr>
        <w:color w:val="000000"/>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olorowasiatkaakcent3">
    <w:name w:val="Colorful Grid Accent 3"/>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000000"/>
      </w:rPr>
      <w:tblPr/>
      <w:tcPr>
        <w:shd w:val="clear" w:color="auto" w:fill="76923C"/>
      </w:tcPr>
    </w:tblStylePr>
    <w:tblStylePr w:type="lastCol">
      <w:rPr>
        <w:color w:val="000000"/>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olorowasiatkaakcent4">
    <w:name w:val="Colorful Grid Accent 4"/>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000000"/>
      </w:rPr>
      <w:tblPr/>
      <w:tcPr>
        <w:shd w:val="clear" w:color="auto" w:fill="5F497A"/>
      </w:tcPr>
    </w:tblStylePr>
    <w:tblStylePr w:type="lastCol">
      <w:rPr>
        <w:color w:val="000000"/>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olorowasiatkaakcent5">
    <w:name w:val="Colorful Grid Accent 5"/>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000000"/>
      </w:rPr>
      <w:tblPr/>
      <w:tcPr>
        <w:shd w:val="clear" w:color="auto" w:fill="31849B"/>
      </w:tcPr>
    </w:tblStylePr>
    <w:tblStylePr w:type="lastCol">
      <w:rPr>
        <w:color w:val="000000"/>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olorowasiatkaakcent6">
    <w:name w:val="Colorful Grid Accent 6"/>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000000"/>
      </w:rPr>
      <w:tblPr/>
      <w:tcPr>
        <w:shd w:val="clear" w:color="auto" w:fill="E36C0A"/>
      </w:tcPr>
    </w:tblStylePr>
    <w:tblStylePr w:type="lastCol">
      <w:rPr>
        <w:color w:val="000000"/>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Odwoaniedokomentarza">
    <w:name w:val="annotation reference"/>
    <w:basedOn w:val="Domylnaczcionkaakapitu"/>
    <w:uiPriority w:val="99"/>
    <w:semiHidden/>
    <w:unhideWhenUsed/>
    <w:rsid w:val="00B07BE9"/>
    <w:rPr>
      <w:sz w:val="16"/>
      <w:szCs w:val="16"/>
    </w:rPr>
  </w:style>
  <w:style w:type="paragraph" w:styleId="Tekstkomentarza">
    <w:name w:val="annotation text"/>
    <w:basedOn w:val="Normalny"/>
    <w:link w:val="TekstkomentarzaZnak"/>
    <w:uiPriority w:val="99"/>
    <w:semiHidden/>
    <w:unhideWhenUsed/>
    <w:rsid w:val="00B07BE9"/>
    <w:rPr>
      <w:sz w:val="20"/>
      <w:szCs w:val="20"/>
    </w:rPr>
  </w:style>
  <w:style w:type="character" w:customStyle="1" w:styleId="TekstkomentarzaZnak">
    <w:name w:val="Tekst komentarza Znak"/>
    <w:basedOn w:val="Domylnaczcionkaakapitu"/>
    <w:link w:val="Tekstkomentarza"/>
    <w:uiPriority w:val="99"/>
    <w:semiHidden/>
    <w:rsid w:val="00B07BE9"/>
    <w:rPr>
      <w:rFonts w:ascii="Calibri" w:hAnsi="Calibri"/>
      <w:lang w:val="en-US" w:eastAsia="en-US"/>
    </w:rPr>
  </w:style>
  <w:style w:type="paragraph" w:styleId="Tematkomentarza">
    <w:name w:val="annotation subject"/>
    <w:basedOn w:val="Tekstkomentarza"/>
    <w:next w:val="Tekstkomentarza"/>
    <w:link w:val="TematkomentarzaZnak"/>
    <w:uiPriority w:val="99"/>
    <w:semiHidden/>
    <w:unhideWhenUsed/>
    <w:rsid w:val="00B07BE9"/>
    <w:rPr>
      <w:b/>
      <w:bCs/>
    </w:rPr>
  </w:style>
  <w:style w:type="character" w:customStyle="1" w:styleId="TematkomentarzaZnak">
    <w:name w:val="Temat komentarza Znak"/>
    <w:basedOn w:val="TekstkomentarzaZnak"/>
    <w:link w:val="Tematkomentarza"/>
    <w:uiPriority w:val="99"/>
    <w:semiHidden/>
    <w:rsid w:val="00B07BE9"/>
    <w:rPr>
      <w:b/>
      <w:bCs/>
    </w:rPr>
  </w:style>
  <w:style w:type="paragraph" w:styleId="Tekstdymka">
    <w:name w:val="Balloon Text"/>
    <w:basedOn w:val="Normalny"/>
    <w:link w:val="TekstdymkaZnak"/>
    <w:uiPriority w:val="99"/>
    <w:semiHidden/>
    <w:unhideWhenUsed/>
    <w:rsid w:val="00B07BE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7BE9"/>
    <w:rPr>
      <w:rFonts w:ascii="Tahoma" w:hAnsi="Tahoma" w:cs="Tahoma"/>
      <w:sz w:val="16"/>
      <w:szCs w:val="16"/>
      <w:lang w:val="en-US" w:eastAsia="en-US"/>
    </w:rPr>
  </w:style>
  <w:style w:type="paragraph" w:styleId="NormalnyWeb">
    <w:name w:val="Normal (Web)"/>
    <w:basedOn w:val="Normalny"/>
    <w:uiPriority w:val="99"/>
    <w:unhideWhenUsed/>
    <w:rsid w:val="00C7336C"/>
    <w:pPr>
      <w:spacing w:before="100" w:beforeAutospacing="1" w:afterAutospacing="1" w:line="240" w:lineRule="auto"/>
    </w:pPr>
    <w:rPr>
      <w:rFonts w:ascii="Times New Roman" w:eastAsia="Times New Roman" w:hAnsi="Times New Roman"/>
      <w:sz w:val="24"/>
      <w:szCs w:val="24"/>
      <w:lang w:val="pl-PL" w:eastAsia="pl-PL"/>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 Id="rIdLegal151CF" Type="http://schemas.openxmlformats.org/officeDocument/2006/relationships/hyperlink" Target="https://www.cloudflare.com/cloudflare-customer-dpa/" TargetMode="External"/><Relationship Id="rIdLegal151CF_LIST" Type="http://schemas.openxmlformats.org/officeDocument/2006/relationships/hyperlink" Target="https://www.cloudflare.com/gdpr/subprocessors/" TargetMode="External"/><Relationship Id="rIdLegal151SCC" Type="http://schemas.openxmlformats.org/officeDocument/2006/relationships/hyperlink" Target="https://eur-lex.europa.eu/eli/dec_impl/2021/914/oj" TargetMode="External"/><Relationship Id="rIdLegal151CDP" Type="http://schemas.openxmlformats.org/officeDocument/2006/relationships/hyperlink" Target="https://www.coinbase.com/legal/developer-platform/terms-of-service" TargetMode="External"/><Relationship Id="rIdLegal151ADEQUACY" Type="http://schemas.openxmlformats.org/officeDocument/2006/relationships/hyperlink" Target="https://commission.europa.eu/law/law-topic/data-protection/international-dimension-data-protection/adequacy-decisions_en" TargetMode="External"/><Relationship Id="rIdLegal151PROTON" Type="http://schemas.openxmlformats.org/officeDocument/2006/relationships/hyperlink" Target="https://proton.me/legal/dpa" TargetMode="External"/><Relationship Id="rIdLegal151GOOGLE_DPF" Type="http://schemas.openxmlformats.org/officeDocument/2006/relationships/hyperlink" Target="https://cloud.google.com/terms/alternative-transfer-solution" TargetMode="External"/><Relationship Id="rIdLegal151GOOGLE" Type="http://schemas.openxmlformats.org/officeDocument/2006/relationships/hyperlink" Target="https://cloud.google.com/terms/data-processing-addendu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8</Pages>
  <Words>2837</Words>
  <Characters>17024</Characters>
  <Application>Microsoft Office Word</Application>
  <DocSecurity>0</DocSecurity>
  <Lines>141</Lines>
  <Paragraphs>39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Polityka Prywatności IntegrityPhase – ACTIVE_CANDIDATE_V1.2</vt:lpstr>
      <vt:lpstr/>
    </vt:vector>
  </TitlesOfParts>
  <Company/>
  <LinksUpToDate>false</LinksUpToDate>
  <CharactersWithSpaces>19822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Prywatności IntegrityPhase - ACTIVE CANDIDATE V1.2</dc:title>
  <dc:subject>IntegrityPhase - dokument prawny B2B/API - wersja 1.2</dc:subject>
  <dc:creator/>
  <dc:description>Aktywny kandydat V1.2 – pilot B2B</dc:description>
  <cp:lastModifiedBy>IntegrityPhase</cp:lastModifiedBy>
  <cp:revision>3</cp:revision>
  <dcterms:created xsi:type="dcterms:W3CDTF">2026-08-12T13:48:00Z</dcterms:created>
  <dcterms:modified xsi:type="dcterms:W3CDTF">2026-08-28T00:00:00Z</dcterms:modified>
  <cp:keywords>IntegrityPhase, B2B, API</cp:keywords>
</cp:coreProperties>
</file>