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rPr>
          <w:lang w:val="pl-PL"/>
        </w:rPr>
      </w:pPr>
      <w:r>
        <w:rPr>
          <w:rFonts w:eastAsia="Calibri"/>
          <w:b/>
          <w:color w:val="000000"/>
          <w:sz w:val="18"/>
          <w:lang w:val="pl-PL"/>
        </w:rPr>
        <w:t>INTEGRITYPHASE  |  DOKUMENT PRAWNY B2B/API</w:t>
      </w:r>
    </w:p>
    <w:p>
      <w:pPr>
        <w:pStyle w:val="Title"/>
        <w:keepNext/>
        <w:spacing w:after="140"/>
        <w:rPr>
          <w:lang w:val="pl-PL"/>
        </w:rPr>
      </w:pPr>
      <w:r>
        <w:rPr>
          <w:rFonts w:eastAsia="Calibri"/>
          <w:b/>
          <w:color w:val="000000"/>
          <w:sz w:val="42"/>
          <w:lang w:val="pl-PL"/>
        </w:rPr>
        <w:t>UMOWA POWIERZENIA PRZETWARZANIA DANYCH OSOBOWYCH</w:t>
      </w:r>
    </w:p>
    <w:tbl>
      <w:tblPr>
        <w:tblW w:w="9412" w:type="dxa"/>
        <w:tblInd w:w="120" w:type="dxa"/>
        <w:tblBorders>
          <w:top w:val="single" w:sz="4" w:space="0" w:color="C9D2DD"/>
          <w:left w:val="single" w:sz="4" w:space="0" w:color="C9D2DD"/>
          <w:bottom w:val="single" w:sz="4" w:space="0" w:color="C9D2DD"/>
          <w:right w:val="single" w:sz="4" w:space="0" w:color="C9D2DD"/>
          <w:insideH w:val="single" w:sz="4" w:space="0" w:color="C9D2DD"/>
          <w:insideV w:val="single" w:sz="4" w:space="0" w:color="C9D2DD"/>
        </w:tblBorders>
        <w:tblLayout w:type="fixed"/>
        <w:tblLook w:val="04A0"/>
      </w:tblPr>
      <w:tblGrid>
        <w:gridCol w:w="1550"/>
        <w:gridCol w:w="7862"/>
      </w:tblGrid>
      <w:tr>
        <w:tc>
          <w:tcPr>
            <w:tcW w:w="1550" w:type="dxa"/>
            <w:shd w:val="clear" w:color="auto" w:fill="E8EEF5"/>
            <w:tcMar>
              <w:top w:w="90" w:type="dxa"/>
              <w:left w:w="120" w:type="dxa"/>
              <w:bottom w:w="90" w:type="dxa"/>
              <w:right w:w="120" w:type="dxa"/>
            </w:tcMar>
            <w:vAlign w:val="center"/>
          </w:tcPr>
          <w:p>
            <w:pPr>
              <w:spacing w:after="0"/>
            </w:pPr>
            <w:r>
              <w:rPr>
                <w:rFonts w:eastAsia="Calibri"/>
                <w:b/>
                <w:color w:val="000000"/>
                <w:sz w:val="18"/>
                <w:lang w:val="pl-PL"/>
              </w:rPr>
              <w:t>Status</w:t>
            </w:r>
          </w:p>
        </w:tc>
        <w:tc>
          <w:tcPr>
            <w:tcW w:w="7862" w:type="dxa"/>
            <w:tcMar>
              <w:top w:w="90" w:type="dxa"/>
              <w:left w:w="120" w:type="dxa"/>
              <w:bottom w:w="90" w:type="dxa"/>
              <w:right w:w="120" w:type="dxa"/>
            </w:tcMar>
            <w:vAlign w:val="center"/>
          </w:tcPr>
          <w:p>
            <w:r>
              <w:t xml:space="preserve">DOKUMENT DLA KLIENTA</w:t>
            </w:r>
          </w:p>
        </w:tc>
      </w:tr>
      <w:tr>
        <w:tc>
          <w:tcPr>
            <w:tcW w:w="1550" w:type="dxa"/>
            <w:shd w:val="clear" w:color="auto" w:fill="E8EEF5"/>
            <w:tcMar>
              <w:top w:w="90" w:type="dxa"/>
              <w:left w:w="120" w:type="dxa"/>
              <w:bottom w:w="90" w:type="dxa"/>
              <w:right w:w="120" w:type="dxa"/>
            </w:tcMar>
            <w:vAlign w:val="center"/>
          </w:tcPr>
          <w:p>
            <w:pPr>
              <w:spacing w:after="0"/>
            </w:pPr>
            <w:r>
              <w:rPr>
                <w:rFonts w:eastAsia="Calibri"/>
                <w:b/>
                <w:color w:val="000000"/>
                <w:sz w:val="18"/>
                <w:lang w:val="pl-PL"/>
              </w:rPr>
              <w:t>Wersja</w:t>
            </w:r>
          </w:p>
        </w:tc>
        <w:tc>
          <w:tcPr>
            <w:tcW w:w="7862" w:type="dxa"/>
            <w:tcMar>
              <w:top w:w="90" w:type="dxa"/>
              <w:left w:w="120" w:type="dxa"/>
              <w:bottom w:w="90" w:type="dxa"/>
              <w:right w:w="120" w:type="dxa"/>
            </w:tcMar>
            <w:vAlign w:val="center"/>
          </w:tcPr>
          <w:p>
            <w:r>
              <w:t>1.5.2_2026-09-30</w:t>
            </w:r>
          </w:p>
        </w:tc>
      </w:tr>
    </w:tbl>
    <w:p>
      <w:pPr>
        <w:spacing w:after="0"/>
      </w:pPr>
    </w:p>
    <w:p>
      <w:r>
        <w:t xml:space="preserve">Ramowa DPA 1.5.2 z 30 września 2026 r. określa warunki przetwarzania danych osobowych przez IntegrityPhase w imieniu Klienta oraz obowiązki stron. Jest obowiązkowo akceptowana przy onboardingu przez Agenta osoby prawnej z Delegacją obejmującą enter_dpa. Powierzenie dotyczy danych osobowych rzeczywiście przetwarzanych w imieniu Klienta, w granicach tej umowy i udokumentowanych instrukcji.</w:t>
      </w:r>
    </w:p>
    <w:p>
      <w:pPr>
        <w:pStyle w:val="Nagwek1"/>
      </w:pPr>
      <w:r>
        <w:rPr>
          <w:rFonts w:eastAsia="Calibri"/>
          <w:lang w:val="pl-PL"/>
        </w:rPr>
        <w:t>1. Strony i zastosowanie DPA</w:t>
      </w:r>
    </w:p>
    <w:p>
      <w:pPr>
        <w:keepLines/>
        <w:numPr>
          <w:ilvl w:val="0"/>
          <w:numId w:val="10"/>
        </w:numPr>
        <w:rPr>
          <w:lang w:val="pl-PL"/>
        </w:rPr>
      </w:pPr>
      <w:r>
        <w:t>DPA jest zawierana pomiędzy Klientem będącym osobą prawną z Polski albo innego państwa UE, dalej „Administratorem”, a Marcinem Podskarbi, prowadzącym działalność gospodarczą pod firmą Marcin Podskarbi Prototype 1/2 Lab, NIP 6222767998, REGON 545123210, adres: Rolna 18A, 62-002 Suchy Las, dalej „Podmiotem przetwarzającym”.</w:t>
      </w:r>
    </w:p>
    <w:p>
      <w:pPr>
        <w:keepLines/>
        <w:numPr>
          <w:ilvl w:val="0"/>
          <w:numId w:val="10"/>
        </w:numPr>
        <w:rPr>
          <w:lang w:val="pl-PL"/>
        </w:rPr>
      </w:pPr>
      <w:r>
        <w:t>Ramowa DPA jest obowiązkowo akceptowana przy każdym automatycznym onboardingu. Obowiązki powierzenia mają zastosowanie wyłącznie do danych osobowych rzeczywiście przetwarzanych w imieniu Klienta w Payloadzie lub powiązanych metadanych POST /verify/webhook-integrity. Sama akceptacja nie oznacza występowania danych osobowych w Payloadzie ani zgody na rozszerzenie dopuszczonego zakresu danych.</w:t>
      </w:r>
    </w:p>
    <w:p>
      <w:pPr>
        <w:keepLines/>
        <w:numPr>
          <w:ilvl w:val="0"/>
          <w:numId w:val="10"/>
        </w:numPr>
        <w:rPr>
          <w:lang w:val="pl-PL"/>
        </w:rPr>
      </w:pPr>
      <w:r>
        <w:t>Agent deklaruje w onboardingu, bez przekazywania Payloadu, czy Payload może zawierać dane osobowe osób trzecich. Niezależnie od tej deklaracji akceptuje ramową DPA na podstawie ważnej Delegacji z enter_dpa przed utworzeniem Buyer Bindingu. Rzeczywiste przetwarzanie w imieniu Klienta wymaga udokumentowanych instrukcji mieszczących się w tej Delegacji i DPA.</w:t>
      </w:r>
    </w:p>
    <w:p>
      <w:pPr>
        <w:keepLines/>
        <w:numPr>
          <w:ilvl w:val="0"/>
          <w:numId w:val="10"/>
        </w:numPr>
        <w:rPr>
          <w:lang w:val="pl-PL"/>
        </w:rPr>
      </w:pPr>
      <w:r>
        <w:rPr>
          <w:lang w:val="pl-PL"/>
        </w:rPr>
        <w:t xml:space="preserve">Brak, wygaśnięcie, odwołanie albo niespójność DPA, Delegacji, jej zakresu lub zapisanych danych blokują aplikacyjny odczyt Payloadu na zasadach pkt 4. Zmiana Integracji wyłącza odpowiedni Buyer Binding do ponownej walidacji. Nie ma ręcznego obejścia.</w:t>
      </w:r>
    </w:p>
    <w:p>
      <w:pPr>
        <w:keepLines/>
        <w:numPr>
          <w:ilvl w:val="0"/>
          <w:numId w:val="10"/>
        </w:numPr>
      </w:pPr>
      <w:r>
        <w:rPr>
          <w:rFonts w:eastAsia="Calibri"/>
          <w:color w:val="000000"/>
          <w:lang w:val="pl-PL"/>
        </w:rPr>
        <w:t>DPA nie reguluje danych, dla których Podmiot przetwarzający działa jako odrębny administrator, w szczególności danych kontaktowych, umownych, bezpieczeństwa, rozliczeń i obrony roszczeń. Zasady ich przetwarzania określa Polityka Prywatności IntegrityPhase.</w:t>
      </w:r>
    </w:p>
    <w:p>
      <w:pPr>
        <w:pStyle w:val="Nagwek1"/>
      </w:pPr>
      <w:r>
        <w:rPr>
          <w:rFonts w:eastAsia="Calibri"/>
          <w:lang w:val="pl-PL"/>
        </w:rPr>
        <w:t>2. Zawarcie i czas obowiązywania</w:t>
      </w:r>
    </w:p>
    <w:p>
      <w:pPr>
        <w:keepLines/>
        <w:numPr>
          <w:ilvl w:val="0"/>
          <w:numId w:val="11"/>
        </w:numPr>
        <w:rPr>
          <w:lang w:val="pl-PL"/>
        </w:rPr>
      </w:pPr>
      <w:r>
        <w:t>Agent akceptuje DPA elektronicznie w deklarowanym imieniu wskazanej firmy, na podstawie oświadczenia o upoważnieniu obejmującego enter_dpa i udokumentowane instrukcje. IntegrityPhase sprawdza podpis, kontrolę klucza i zgodność z przedstawioną Delegacją, lecz nie potwierdza niezależnie reprezentanta ani udzielenia upoważnienia przez firmę. Działanie za Administratora wymaga rzeczywistego umocowania; techniczny wynik onboardingu nie zastępuje tego warunku.</w:t>
      </w:r>
    </w:p>
    <w:p>
      <w:pPr>
        <w:keepLines/>
        <w:numPr>
          <w:ilvl w:val="0"/>
          <w:numId w:val="11"/>
        </w:numPr>
        <w:rPr>
          <w:lang w:val="pl-PL"/>
        </w:rPr>
      </w:pPr>
      <w:r>
        <w:t>Podmiot przetwarzający utrwala wersję i hash DPA, dane wskazanego Klienta, Delegację, podpisane oświadczenie i jego hash, Agenta, publiczny klucz lub fingerprint, Wallet, zakres enter_dpa, ważność, odwołanie, czas, kanał oraz wyniki kontroli i Buyer Binding. Upoważnienie jest oznaczone jako deklarowane i niezależnie niepotwierdzone.</w:t>
      </w:r>
    </w:p>
    <w:p>
      <w:pPr>
        <w:keepLines/>
        <w:numPr>
          <w:ilvl w:val="0"/>
          <w:numId w:val="11"/>
        </w:numPr>
        <w:rPr>
          <w:lang w:val="pl-PL"/>
        </w:rPr>
      </w:pPr>
      <w:r>
        <w:rPr>
          <w:lang w:val="pl-PL"/>
        </w:rPr>
        <w:t xml:space="preserve">Po wymaganych kontrolach system zapisuje akceptację ramowej DPA i tworzy Buyer Binding, również przy deklaracji braku danych osobowych w Payloadzie. Skuteczność działania wobec firmy wymaga rzeczywistego upoważnienia; zapis techniczny nie przesądza związania firmy czynnością osoby nieuprawnionej. Brak wymaganego dowodu akceptacji blokuje Buyer Binding albo aplikacyjny odczyt Payloadu na zasadach pkt 4. Powierzenie dotyczy rzeczywistego przetwarzania w imieniu Administratora.</w:t>
      </w:r>
    </w:p>
    <w:p>
      <w:pPr>
        <w:keepLines/>
        <w:numPr>
          <w:ilvl w:val="0"/>
          <w:numId w:val="11"/>
        </w:numPr>
        <w:rPr>
          <w:lang w:val="pl-PL"/>
        </w:rPr>
      </w:pPr>
      <w:r>
        <w:rPr>
          <w:lang w:val="pl-PL"/>
        </w:rPr>
        <w:t xml:space="preserve">DPA określa warunki powierzenia przy zakupach pojedynczych Operacji; nie ustanawia abonamentu ani pakietu zakupów. Zakończenie przetwarzania danej kategorii wynika z wykonania jej celu i okresów Załącznika D albo z wcześniejszego zakończenia Umowy lub zgodnej z prawem instrukcji Administratora. Obowiązki ochrony danych trwają do ich usunięcia lub zwrotu i wygaśnięcia kopii. Samo przechowywanie danych rozliczeniowych we własnym celu Operatora nie przedłuża powierzenia.</w:t>
      </w:r>
    </w:p>
    <w:p>
      <w:pPr>
        <w:pStyle w:val="Nagwek1"/>
      </w:pPr>
      <w:r>
        <w:rPr>
          <w:rFonts w:eastAsia="Calibri"/>
          <w:lang w:val="pl-PL"/>
        </w:rPr>
        <w:t xml:space="preserve">3. </w:t>
      </w:r>
      <w:r>
        <w:rPr>
          <w:rFonts w:eastAsia="Calibri"/>
          <w:lang w:val="pl-PL"/>
        </w:rPr>
        <w:t>Definicje</w:t>
      </w:r>
    </w:p>
    <w:p>
      <w:pPr>
        <w:keepLines/>
        <w:numPr>
          <w:ilvl w:val="0"/>
          <w:numId w:val="12"/>
        </w:numPr>
        <w:rPr>
          <w:lang w:val="pl-PL"/>
        </w:rPr>
      </w:pPr>
      <w:r>
        <w:rPr>
          <w:rFonts w:eastAsia="Calibri"/>
          <w:color w:val="000000"/>
          <w:lang w:val="pl-PL"/>
        </w:rPr>
        <w:t>Pojęcia „dane osobowe”, „przetwarzanie”, „administrator”, „podmiot przetwarzający”, „naruszenie ochrony danych osobowych” i „organ nadzorczy” mają znaczenie nadane im w RODO. Pozostałe pojęcia pisane wielką literą mają znaczenie określone w aktualnym Regulaminie B2B/API IntegrityPhase.</w:t>
      </w:r>
    </w:p>
    <w:p>
      <w:pPr>
        <w:pStyle w:val="Nagwek1"/>
      </w:pPr>
      <w:r>
        <w:rPr>
          <w:rFonts w:eastAsia="Calibri"/>
          <w:lang w:val="pl-PL"/>
        </w:rPr>
        <w:t>4. Przedmiot, charakter i cel przetwarzania</w:t>
      </w:r>
    </w:p>
    <w:p>
      <w:pPr>
        <w:keepLines/>
        <w:numPr>
          <w:ilvl w:val="0"/>
          <w:numId w:val="13"/>
        </w:numPr>
        <w:rPr>
          <w:lang w:val="pl-PL"/>
        </w:rPr>
      </w:pPr>
      <w:proofErr w:type="spellStart"/>
      <w:proofErr w:type="spellEnd"/>
      <w:r>
        <w:rPr>
          <w:rFonts w:eastAsia="Calibri"/>
          <w:color w:val="000000"/>
          <w:lang w:val="pl-PL"/>
        </w:rPr>
        <w:t>Przedmiotem powierzenia jest przetwarzanie minimalnego zakresu danych osobowych zawartych w Payloadzie lub metadanych Żądania webhook_integrity.v1 wyłącznie w celu wykonania technicznego proofu/receiptu integralności webhooka.</w:t>
      </w:r>
    </w:p>
    <w:p>
      <w:pPr>
        <w:keepLines/>
        <w:numPr>
          <w:ilvl w:val="0"/>
          <w:numId w:val="13"/>
        </w:numPr>
        <w:rPr>
          <w:lang w:val="pl-PL"/>
        </w:rPr>
      </w:pPr>
      <w:r>
        <w:rPr>
          <w:lang w:val="pl-PL"/>
        </w:rPr>
        <w:t xml:space="preserve">Przed skutecznym zawarciem DPA aplikacja przetwarza w roli odrębnego administratora wyłącznie dane konieczne do onboardingu, identyfikacji Klienta, Delegacji, Agenta, Walleta i Buyer Bindingu oraz sprawdzenia statusu DPA. Nie dopuszcza wtedy aplikacyjnego odczytu Payloadu do wykonania Usługi. Kontrola nie eliminuje wcześniejszego odbioru transmisji przez infrastrukturę wskazaną poniżej.</w:t>
      </w:r>
    </w:p>
    <w:p>
      <w:pPr>
        <w:keepLines/>
        <w:numPr>
          <w:ilvl w:val="0"/>
          <w:numId w:val="13"/>
        </w:numPr>
        <w:rPr>
          <w:lang w:val="pl-PL"/>
        </w:rPr>
      </w:pPr>
      <w:r>
        <w:rPr>
          <w:lang w:val="pl-PL"/>
        </w:rPr>
        <w:t xml:space="preserve">Kontrola ważności DPA i Delegacji dotyczy momentu przed odczytem treści przez aplikację. Obejmuje aktualną akceptację dokumentów, zakres, ważność, odwołanie oraz zgodność Klienta, Agenta, Walleta i źródła. Po odebraniu treści system ponawia kontrolę. Sprawdzenie podpisu źródła wymagające treści następuje po jej odczycie; same nagłówki nie uwierzytelniają nadawcy. Bajty mogą wcześniej dotrzeć do infrastruktury sieciowej, systemu operacyjnego i pośrednika HTTP kończącego TLS, opisanego w Polityce Prywatności i DPA. Wymagane powiązanie obejmuje Klienta, Delegację, Agenta, Wallet, Buyer Binding i zakres. Brak bieżącego potwierdzenia powoduje odmowę przed aplikacyjnym odczytem treści.</w:t>
      </w:r>
    </w:p>
    <w:p>
      <w:pPr>
        <w:keepLines/>
        <w:numPr>
          <w:ilvl w:val="0"/>
          <w:numId w:val="13"/>
        </w:numPr>
      </w:pPr>
      <w:r>
        <w:rPr>
          <w:rFonts w:eastAsia="Calibri"/>
          <w:color w:val="000000"/>
          <w:lang w:val="pl-PL"/>
        </w:rPr>
        <w:t>Operacje przetwarzania mogą obejmować:</w:t>
      </w:r>
    </w:p>
    <w:p>
      <w:pPr>
        <w:keepLines/>
        <w:numPr>
          <w:ilvl w:val="0"/>
          <w:numId w:val="14"/>
        </w:numPr>
        <w:spacing w:after="60"/>
      </w:pPr>
      <w:r>
        <w:rPr>
          <w:rFonts w:eastAsia="Calibri"/>
          <w:color w:val="000000"/>
          <w:lang w:val="pl-PL"/>
        </w:rPr>
        <w:lastRenderedPageBreak/>
        <w:t>przejściowe przyjęcie Payloadu;</w:t>
      </w:r>
    </w:p>
    <w:p>
      <w:pPr>
        <w:keepLines/>
        <w:numPr>
          <w:ilvl w:val="0"/>
          <w:numId w:val="14"/>
        </w:numPr>
        <w:spacing w:after="60"/>
        <w:rPr>
          <w:lang w:val="pl-PL"/>
        </w:rPr>
      </w:pPr>
      <w:r>
        <w:rPr>
          <w:rFonts w:eastAsia="Calibri"/>
          <w:color w:val="000000"/>
          <w:lang w:val="pl-PL"/>
        </w:rPr>
        <w:t>walidację formatu i schematu webhook_integrity.v1, znacznika czasu, nonce, identyfikatora zdarzenia i źródła oraz zgodności z techniczną polityką Klienta;</w:t>
      </w:r>
    </w:p>
    <w:p>
      <w:pPr>
        <w:keepLines/>
        <w:numPr>
          <w:ilvl w:val="0"/>
          <w:numId w:val="14"/>
        </w:numPr>
        <w:spacing w:after="60"/>
      </w:pPr>
      <w:proofErr w:type="spellStart"/>
      <w:proofErr w:type="spellEnd"/>
      <w:proofErr w:type="spellStart"/>
      <w:proofErr w:type="spellEnd"/>
      <w:r>
        <w:rPr>
          <w:rFonts w:eastAsia="Calibri"/>
          <w:color w:val="000000"/>
          <w:lang w:val="pl-PL"/>
        </w:rPr>
        <w:t>porównanie hashy lub fingerprintów w celu sprawdzenia integralności technicznej;</w:t>
      </w:r>
    </w:p>
    <w:p>
      <w:pPr>
        <w:keepLines/>
        <w:numPr>
          <w:ilvl w:val="0"/>
          <w:numId w:val="14"/>
        </w:numPr>
        <w:spacing w:after="60"/>
      </w:pPr>
      <w:proofErr w:type="spellStart"/>
      <w:r>
        <w:rPr>
          <w:rFonts w:eastAsia="Calibri"/>
          <w:color w:val="000000"/>
        </w:rPr>
        <w:t>nadanie</w:t>
      </w:r>
      <w:proofErr w:type="spellEnd"/>
      <w:r>
        <w:rPr>
          <w:rFonts w:eastAsia="Calibri"/>
          <w:color w:val="000000"/>
        </w:rPr>
        <w:t xml:space="preserve"> request ID, response ID </w:t>
      </w:r>
      <w:proofErr w:type="spellStart"/>
      <w:r>
        <w:rPr>
          <w:rFonts w:eastAsia="Calibri"/>
          <w:color w:val="000000"/>
        </w:rPr>
        <w:t>i</w:t>
      </w:r>
      <w:proofErr w:type="spellEnd"/>
      <w:r>
        <w:rPr>
          <w:rFonts w:eastAsia="Calibri"/>
          <w:color w:val="000000"/>
        </w:rPr>
        <w:t xml:space="preserve"> operation ID;</w:t>
      </w:r>
    </w:p>
    <w:p>
      <w:pPr>
        <w:keepLines/>
        <w:numPr>
          <w:ilvl w:val="0"/>
          <w:numId w:val="14"/>
        </w:numPr>
        <w:spacing w:after="60"/>
      </w:pPr>
      <w:r>
        <w:rPr>
          <w:rFonts w:eastAsia="Calibri"/>
          <w:color w:val="000000"/>
          <w:lang w:val="pl-PL"/>
        </w:rPr>
        <w:t>wygenerowanie technicznego proofu/receiptu, który nie potwierdza prawdziwości zdarzenia ani skutku prawnego;</w:t>
      </w:r>
    </w:p>
    <w:p>
      <w:pPr>
        <w:keepLines/>
        <w:numPr>
          <w:ilvl w:val="0"/>
          <w:numId w:val="14"/>
        </w:numPr>
        <w:spacing w:after="60"/>
        <w:rPr>
          <w:lang w:val="pl-PL"/>
        </w:rPr>
      </w:pPr>
      <w:r>
        <w:rPr>
          <w:lang w:val="pl-PL"/>
        </w:rPr>
        <w:t xml:space="preserve">utrzymanie niezbędnych identyfikatorów, statusów, hashy, logów i śladu audytowego bez trwałego zapisu surowego Payloadu w konfiguracji dopuszczenia Operacji, bazie, logach i kopiach aplikacji;</w:t>
      </w:r>
    </w:p>
    <w:p>
      <w:pPr>
        <w:keepLines/>
        <w:numPr>
          <w:ilvl w:val="0"/>
          <w:numId w:val="14"/>
        </w:numPr>
        <w:spacing w:after="60"/>
        <w:rPr>
          <w:lang w:val="pl-PL"/>
        </w:rPr>
      </w:pPr>
      <w:r>
        <w:rPr>
          <w:rFonts w:eastAsia="Calibri"/>
          <w:color w:val="000000"/>
          <w:lang w:val="pl-PL"/>
        </w:rPr>
        <w:t xml:space="preserve">obsługę błędów, incydentów, reklamacji i </w:t>
      </w:r>
      <w:proofErr w:type="spellStart"/>
      <w:r>
        <w:rPr>
          <w:rFonts w:eastAsia="Calibri"/>
          <w:color w:val="000000"/>
          <w:lang w:val="pl-PL"/>
        </w:rPr>
        <w:t>reconciliation</w:t>
      </w:r>
      <w:proofErr w:type="spellEnd"/>
      <w:r>
        <w:rPr>
          <w:rFonts w:eastAsia="Calibri"/>
          <w:color w:val="000000"/>
          <w:lang w:val="pl-PL"/>
        </w:rPr>
        <w:t>;</w:t>
      </w:r>
    </w:p>
    <w:p>
      <w:pPr>
        <w:keepLines/>
        <w:numPr>
          <w:ilvl w:val="0"/>
          <w:numId w:val="14"/>
        </w:numPr>
        <w:spacing w:after="60"/>
        <w:rPr>
          <w:lang w:val="pl-PL"/>
        </w:rPr>
      </w:pPr>
      <w:r>
        <w:rPr>
          <w:rFonts w:eastAsia="Calibri"/>
          <w:color w:val="000000"/>
          <w:lang w:val="pl-PL"/>
        </w:rPr>
        <w:t xml:space="preserve">usunięcie, zwrot lub </w:t>
      </w:r>
      <w:proofErr w:type="spellStart"/>
      <w:r>
        <w:rPr>
          <w:rFonts w:eastAsia="Calibri"/>
          <w:color w:val="000000"/>
          <w:lang w:val="pl-PL"/>
        </w:rPr>
        <w:t>anonimizację</w:t>
      </w:r>
      <w:proofErr w:type="spellEnd"/>
      <w:r>
        <w:rPr>
          <w:rFonts w:eastAsia="Calibri"/>
          <w:color w:val="000000"/>
          <w:lang w:val="pl-PL"/>
        </w:rPr>
        <w:t xml:space="preserve"> danych po osiągnięciu celu.</w:t>
      </w:r>
    </w:p>
    <w:p>
      <w:pPr>
        <w:keepLines/>
        <w:numPr>
          <w:ilvl w:val="0"/>
          <w:numId w:val="13"/>
        </w:numPr>
        <w:rPr>
          <w:lang w:val="pl-PL"/>
        </w:rPr>
      </w:pPr>
      <w:r>
        <w:rPr>
          <w:rFonts w:eastAsia="Calibri"/>
          <w:color w:val="000000"/>
          <w:lang w:val="pl-PL"/>
        </w:rPr>
        <w:t>Przetwarzanie ma charakter zautomatyzowany i techniczny. Podmiot przetwarzający nie wykorzystuje danych powierzonych do własnego marketingu, profilowania, trenowania modeli ani podejmowania wobec osób decyzji wywołujących skutki prawne.</w:t>
      </w:r>
    </w:p>
    <w:p>
      <w:pPr>
        <w:keepLines/>
        <w:numPr>
          <w:ilvl w:val="0"/>
          <w:numId w:val="13"/>
        </w:numPr>
        <w:rPr>
          <w:lang w:val="pl-PL"/>
        </w:rPr>
      </w:pPr>
      <w:r>
        <w:rPr>
          <w:lang w:val="pl-PL"/>
        </w:rPr>
        <w:t xml:space="preserve">Podmiot przetwarzający działa na udokumentowane polecenie Administratora zawarte w Umowie, DPA, Delegacji z enter_dpa, Dokumentacji API i zgodnym Żądaniu. Agent ani Żądanie nie rozszerzają celu i zakresu ponad Delegację i DPA. Jeżeli przetwarzania poza instrukcją wymaga prawo Unii lub państwa członkowskiego właściwe dla Podmiotu przetwarzającego, informuje on Administratora o tym obowiązku przed rozpoczęciem przetwarzania, chyba że prawo zabrania takiej informacji ze względu na ważny interes publiczny.</w:t>
      </w:r>
    </w:p>
    <w:p>
      <w:pPr>
        <w:pStyle w:val="Nagwek1"/>
      </w:pPr>
      <w:r>
        <w:rPr>
          <w:rFonts w:eastAsia="Calibri"/>
          <w:lang w:val="pl-PL"/>
        </w:rPr>
        <w:t>5. Kategorie osób i danych</w:t>
      </w:r>
    </w:p>
    <w:p>
      <w:pPr>
        <w:keepLines/>
        <w:numPr>
          <w:ilvl w:val="0"/>
          <w:numId w:val="15"/>
        </w:numPr>
        <w:rPr>
          <w:lang w:val="pl-PL"/>
        </w:rPr>
      </w:pPr>
      <w:proofErr w:type="spellStart"/>
      <w:proofErr w:type="spellEnd"/>
      <w:r>
        <w:rPr>
          <w:rFonts w:eastAsia="Calibri"/>
          <w:color w:val="000000"/>
          <w:lang w:val="pl-PL"/>
        </w:rPr>
        <w:t>Kategorie osób są ograniczone do przedstawicieli, pracowników, współpracowników, użytkowników systemów, kontrahentów lub innych osób, których minimalne dane Klient zgodnie z prawem umieszcza w zdarzeniu webhook objętym metodą webhook_integrity.v1.</w:t>
      </w:r>
    </w:p>
    <w:p>
      <w:pPr>
        <w:keepLines/>
        <w:numPr>
          <w:ilvl w:val="0"/>
          <w:numId w:val="15"/>
        </w:numPr>
      </w:pPr>
      <w:r>
        <w:rPr>
          <w:rFonts w:eastAsia="Calibri"/>
          <w:color w:val="000000"/>
          <w:lang w:val="pl-PL"/>
        </w:rPr>
        <w:t>Kategorie danych mogą obejmować:</w:t>
      </w:r>
    </w:p>
    <w:p>
      <w:pPr>
        <w:keepLines/>
        <w:numPr>
          <w:ilvl w:val="0"/>
          <w:numId w:val="16"/>
        </w:numPr>
        <w:spacing w:after="60"/>
        <w:rPr>
          <w:lang w:val="pl-PL"/>
        </w:rPr>
      </w:pPr>
      <w:r>
        <w:rPr>
          <w:rFonts w:eastAsia="Calibri"/>
          <w:color w:val="000000"/>
          <w:lang w:val="pl-PL"/>
        </w:rPr>
        <w:t>imię, nazwisko, stanowisko i służbowe dane kontaktowe – wyłącznie jeżeli są niezbędne w zdarzeniu webhook;</w:t>
      </w:r>
    </w:p>
    <w:p>
      <w:pPr>
        <w:keepLines/>
        <w:numPr>
          <w:ilvl w:val="0"/>
          <w:numId w:val="16"/>
        </w:numPr>
        <w:spacing w:after="60"/>
        <w:rPr>
          <w:lang w:val="pl-PL"/>
        </w:rPr>
      </w:pPr>
      <w:r>
        <w:rPr>
          <w:rFonts w:eastAsia="Calibri"/>
          <w:color w:val="000000"/>
          <w:lang w:val="pl-PL"/>
        </w:rPr>
        <w:t>identyfikator użytkownika, pracownika, kontrahenta, źródła albo systemu;</w:t>
      </w:r>
    </w:p>
    <w:p>
      <w:pPr>
        <w:keepLines/>
        <w:numPr>
          <w:ilvl w:val="0"/>
          <w:numId w:val="16"/>
        </w:numPr>
        <w:spacing w:after="60"/>
        <w:rPr>
          <w:lang w:val="pl-PL"/>
        </w:rPr>
      </w:pPr>
      <w:proofErr w:type="spellStart"/>
      <w:proofErr w:type="spellEnd"/>
      <w:r>
        <w:rPr>
          <w:rFonts w:eastAsia="Calibri"/>
          <w:color w:val="000000"/>
          <w:lang w:val="pl-PL"/>
        </w:rPr>
        <w:t>identyfikator zdarzenia, typ zdarzenia, status, timestamp, nonce i minimalne dane procesowe niezbędne do sprawdzenia integralności;</w:t>
      </w:r>
    </w:p>
    <w:p>
      <w:pPr>
        <w:keepLines/>
        <w:numPr>
          <w:ilvl w:val="0"/>
          <w:numId w:val="16"/>
        </w:numPr>
        <w:spacing w:after="60"/>
        <w:rPr>
          <w:lang w:val="pl-PL"/>
        </w:rPr>
      </w:pPr>
      <w:r>
        <w:rPr>
          <w:rFonts w:eastAsia="Calibri"/>
          <w:color w:val="000000"/>
          <w:lang w:val="pl-PL"/>
        </w:rPr>
        <w:t>dane dotyczące czynności zawodowych lub zdarzenia operacyjnego wyłącznie w minimalnym zakresie wymaganym przez webhook_integrity.v1;</w:t>
      </w:r>
    </w:p>
    <w:p>
      <w:pPr>
        <w:keepLines/>
        <w:numPr>
          <w:ilvl w:val="0"/>
          <w:numId w:val="16"/>
        </w:numPr>
        <w:spacing w:after="60"/>
      </w:pPr>
      <w:proofErr w:type="spellStart"/>
      <w:proofErr w:type="spellEnd"/>
      <w:proofErr w:type="spellStart"/>
      <w:proofErr w:type="spellEnd"/>
      <w:proofErr w:type="spellStart"/>
      <w:proofErr w:type="spellEnd"/>
      <w:proofErr w:type="spellStart"/>
      <w:proofErr w:type="spellEnd"/>
      <w:r>
        <w:rPr>
          <w:rFonts w:eastAsia="Calibri"/>
          <w:color w:val="000000"/>
        </w:rPr>
        <w:t>request ID, response ID, operation ID, timestamp, adres IP, user-agent, identyfikator Credentialu, endpoint POST /verify/webhook-integrity i status;</w:t>
      </w:r>
    </w:p>
    <w:p>
      <w:pPr>
        <w:keepLines/>
        <w:numPr>
          <w:ilvl w:val="0"/>
          <w:numId w:val="16"/>
        </w:numPr>
        <w:spacing w:after="60"/>
        <w:rPr>
          <w:lang w:val="pl-PL"/>
        </w:rPr>
      </w:pPr>
      <w:proofErr w:type="spellStart"/>
      <w:proofErr w:type="spellEnd"/>
      <w:r>
        <w:rPr>
          <w:rFonts w:eastAsia="Calibri"/>
          <w:color w:val="000000"/>
          <w:lang w:val="pl-PL"/>
        </w:rPr>
        <w:t>hash, fingerprint albo inne pseudonimizowane identyfikatory techniczne.</w:t>
      </w:r>
    </w:p>
    <w:p>
      <w:pPr>
        <w:keepLines/>
        <w:numPr>
          <w:ilvl w:val="0"/>
          <w:numId w:val="15"/>
        </w:numPr>
        <w:rPr>
          <w:lang w:val="pl-PL"/>
        </w:rPr>
      </w:pPr>
      <w:r>
        <w:rPr>
          <w:rFonts w:eastAsia="Calibri"/>
          <w:color w:val="000000"/>
          <w:lang w:val="pl-PL"/>
        </w:rPr>
        <w:t>Klient nie może przekazywać danych spoza uzgodnionego minimalnego zakresu, szczególnych kategorii danych osobowych, danych o wyrokach i czynach zabronionych, danych dzieci, danych medycznych, haseł, tokenów, surowych API keys, kluczy prywatnych, seed phrase, surowych podpisów płatności, danych instrumentów płatniczych ani danych umożliwiających dysponowanie środkami. Zakres powierzenia nie obejmuje custody ani przechowywania środków Klienta lub osób trzecich.</w:t>
      </w:r>
    </w:p>
    <w:p>
      <w:pPr>
        <w:pStyle w:val="Nagwek1"/>
      </w:pPr>
      <w:r>
        <w:rPr>
          <w:rFonts w:eastAsia="Calibri"/>
          <w:lang w:val="pl-PL"/>
        </w:rPr>
        <w:t>6. Obowiązki Administratora</w:t>
      </w:r>
    </w:p>
    <w:p>
      <w:pPr>
        <w:keepLines/>
        <w:numPr>
          <w:ilvl w:val="0"/>
          <w:numId w:val="17"/>
        </w:numPr>
      </w:pPr>
      <w:r>
        <w:rPr>
          <w:rFonts w:eastAsia="Calibri"/>
          <w:color w:val="000000"/>
          <w:lang w:val="pl-PL"/>
        </w:rPr>
        <w:t>Administrator:</w:t>
      </w:r>
    </w:p>
    <w:p>
      <w:pPr>
        <w:keepLines/>
        <w:numPr>
          <w:ilvl w:val="0"/>
          <w:numId w:val="18"/>
        </w:numPr>
        <w:spacing w:after="60"/>
        <w:rPr>
          <w:lang w:val="pl-PL"/>
        </w:rPr>
      </w:pPr>
      <w:r>
        <w:rPr>
          <w:rFonts w:eastAsia="Calibri"/>
          <w:color w:val="000000"/>
          <w:lang w:val="pl-PL"/>
        </w:rPr>
        <w:t>zapewnia podstawę prawną przetwarzania i przekazania danych;</w:t>
      </w:r>
    </w:p>
    <w:p>
      <w:pPr>
        <w:keepLines/>
        <w:numPr>
          <w:ilvl w:val="0"/>
          <w:numId w:val="18"/>
        </w:numPr>
        <w:spacing w:after="60"/>
        <w:rPr>
          <w:lang w:val="pl-PL"/>
        </w:rPr>
      </w:pPr>
      <w:r>
        <w:rPr>
          <w:rFonts w:eastAsia="Calibri"/>
          <w:color w:val="000000"/>
          <w:lang w:val="pl-PL"/>
        </w:rPr>
        <w:t>realizuje obowiązki informacyjne wobec osób;</w:t>
      </w:r>
    </w:p>
    <w:p>
      <w:pPr>
        <w:keepLines/>
        <w:numPr>
          <w:ilvl w:val="0"/>
          <w:numId w:val="18"/>
        </w:numPr>
        <w:spacing w:after="60"/>
        <w:rPr>
          <w:lang w:val="pl-PL"/>
        </w:rPr>
      </w:pPr>
      <w:r>
        <w:rPr>
          <w:rFonts w:eastAsia="Calibri"/>
          <w:color w:val="000000"/>
          <w:lang w:val="pl-PL"/>
        </w:rPr>
        <w:t>przekazuje wyłącznie dane niezbędne i zgodne z Dokumentacją API;</w:t>
      </w:r>
    </w:p>
    <w:p>
      <w:pPr>
        <w:keepLines/>
        <w:numPr>
          <w:ilvl w:val="0"/>
          <w:numId w:val="18"/>
        </w:numPr>
        <w:spacing w:after="60"/>
        <w:rPr>
          <w:lang w:val="pl-PL"/>
        </w:rPr>
      </w:pPr>
      <w:r>
        <w:t>zapewnia prawidłowość, bezpieczeństwo i aktualność systemów, Integracji, Delegacji, agentów i Walletów;</w:t>
      </w:r>
    </w:p>
    <w:p>
      <w:pPr>
        <w:keepLines/>
        <w:numPr>
          <w:ilvl w:val="0"/>
          <w:numId w:val="18"/>
        </w:numPr>
        <w:spacing w:after="60"/>
        <w:rPr>
          <w:lang w:val="pl-PL"/>
        </w:rPr>
      </w:pPr>
      <w:r>
        <w:t>kontroluje uprawnienia, odwołuje Delegacje i chroni klucze, Wallety oraz Buyer Binding;</w:t>
      </w:r>
    </w:p>
    <w:p>
      <w:pPr>
        <w:keepLines/>
        <w:numPr>
          <w:ilvl w:val="0"/>
          <w:numId w:val="18"/>
        </w:numPr>
        <w:spacing w:after="60"/>
        <w:rPr>
          <w:lang w:val="pl-PL"/>
        </w:rPr>
      </w:pPr>
      <w:r>
        <w:rPr>
          <w:rFonts w:eastAsia="Calibri"/>
          <w:color w:val="000000"/>
          <w:lang w:val="pl-PL"/>
        </w:rPr>
        <w:t xml:space="preserve">nie umieszcza w </w:t>
      </w:r>
      <w:proofErr w:type="spellStart"/>
      <w:r>
        <w:rPr>
          <w:rFonts w:eastAsia="Calibri"/>
          <w:color w:val="000000"/>
          <w:lang w:val="pl-PL"/>
        </w:rPr>
        <w:t>Payloadzie</w:t>
      </w:r>
      <w:proofErr w:type="spellEnd"/>
      <w:r>
        <w:rPr>
          <w:rFonts w:eastAsia="Calibri"/>
          <w:color w:val="000000"/>
          <w:lang w:val="pl-PL"/>
        </w:rPr>
        <w:t xml:space="preserve"> danych zakazanych przez Regulamin i DPA;</w:t>
      </w:r>
    </w:p>
    <w:p>
      <w:pPr>
        <w:keepLines/>
        <w:numPr>
          <w:ilvl w:val="0"/>
          <w:numId w:val="18"/>
        </w:numPr>
        <w:spacing w:after="60"/>
        <w:rPr>
          <w:lang w:val="pl-PL"/>
        </w:rPr>
      </w:pPr>
      <w:r>
        <w:t>dokumentuje polecenia oraz przed zmianą aktualizuje deklarację, Delegację, zakres Agenta i udokumentowane instrukcje;</w:t>
      </w:r>
    </w:p>
    <w:p>
      <w:pPr>
        <w:keepLines/>
        <w:numPr>
          <w:ilvl w:val="0"/>
          <w:numId w:val="18"/>
        </w:numPr>
        <w:spacing w:after="60"/>
        <w:rPr>
          <w:lang w:val="pl-PL"/>
        </w:rPr>
      </w:pPr>
      <w:r>
        <w:rPr>
          <w:rFonts w:eastAsia="Calibri"/>
          <w:color w:val="000000"/>
          <w:lang w:val="pl-PL"/>
        </w:rPr>
        <w:t>odpowiada za zgodność celu i zakresu korzystania z Usługi z RODO i innymi przepisami.</w:t>
      </w:r>
    </w:p>
    <w:p>
      <w:pPr>
        <w:keepLines/>
        <w:numPr>
          <w:ilvl w:val="0"/>
          <w:numId w:val="17"/>
        </w:numPr>
        <w:rPr>
          <w:lang w:val="pl-PL"/>
        </w:rPr>
      </w:pPr>
      <w:r>
        <w:rPr>
          <w:rFonts w:eastAsia="Calibri"/>
          <w:color w:val="000000"/>
          <w:lang w:val="pl-PL"/>
        </w:rPr>
        <w:t>Administrator informuje Podmiot przetwarzający, jeżeli jego Żądanie mogłoby naruszać RODO albo prawa osób, i współpracuje przy ograniczeniu zakresu danych.</w:t>
      </w:r>
    </w:p>
    <w:p>
      <w:pPr>
        <w:keepLines/>
        <w:numPr>
          <w:ilvl w:val="0"/>
          <w:numId w:val="17"/>
        </w:numPr>
        <w:rPr>
          <w:lang w:val="pl-PL"/>
        </w:rPr>
      </w:pPr>
      <w:r>
        <w:t>Zmiana deklaracji, konfiguracji, Delegacji albo zakresu Agenta, która wykracza poza DPA, wymaga ponownej walidacji i utrwalenia aktualnych dokumentów w Legal Gate.</w:t>
      </w:r>
    </w:p>
    <w:p>
      <w:pPr>
        <w:keepLines/>
        <w:numPr>
          <w:ilvl w:val="0"/>
          <w:numId w:val="17"/>
        </w:numPr>
        <w:rPr>
          <w:lang w:val="pl-PL"/>
        </w:rPr>
      </w:pPr>
      <w:r>
        <w:rPr>
          <w:lang w:val="pl-PL"/>
        </w:rPr>
        <w:t xml:space="preserve">Do zakończenia ponownej walidacji Buyer Binding pozostaje wyłączony, a aplikacja odrzuca Żądania przed odczytem Payloadu zgodnie z pkt 4. Wznowienie wymaga ważnej Delegacji i aktualnej DPA.</w:t>
      </w:r>
    </w:p>
    <w:p>
      <w:pPr>
        <w:pStyle w:val="Nagwek1"/>
      </w:pPr>
      <w:r>
        <w:rPr>
          <w:rFonts w:eastAsia="Calibri"/>
          <w:lang w:val="pl-PL"/>
        </w:rPr>
        <w:t>7. Obowiązki Podmiotu przetwarzającego</w:t>
      </w:r>
    </w:p>
    <w:p>
      <w:pPr>
        <w:keepLines/>
        <w:numPr>
          <w:ilvl w:val="0"/>
          <w:numId w:val="19"/>
        </w:numPr>
      </w:pPr>
      <w:r>
        <w:rPr>
          <w:rFonts w:eastAsia="Calibri"/>
          <w:color w:val="000000"/>
          <w:lang w:val="pl-PL"/>
        </w:rPr>
        <w:t>Podmiot przetwarzający:</w:t>
      </w:r>
    </w:p>
    <w:p>
      <w:pPr>
        <w:keepLines/>
        <w:numPr>
          <w:ilvl w:val="0"/>
          <w:numId w:val="20"/>
        </w:numPr>
        <w:spacing w:after="60"/>
        <w:rPr>
          <w:lang w:val="pl-PL"/>
        </w:rPr>
      </w:pPr>
      <w:r>
        <w:rPr>
          <w:rFonts w:eastAsia="Calibri"/>
          <w:color w:val="000000"/>
          <w:lang w:val="pl-PL"/>
        </w:rPr>
        <w:t>przetwarza dane wyłącznie na udokumentowane polecenie Administratora;</w:t>
      </w:r>
    </w:p>
    <w:p>
      <w:pPr>
        <w:keepLines/>
        <w:numPr>
          <w:ilvl w:val="0"/>
          <w:numId w:val="20"/>
        </w:numPr>
        <w:spacing w:after="60"/>
        <w:rPr>
          <w:lang w:val="pl-PL"/>
        </w:rPr>
      </w:pPr>
      <w:r>
        <w:rPr>
          <w:rFonts w:eastAsia="Calibri"/>
          <w:color w:val="000000"/>
          <w:lang w:val="pl-PL"/>
        </w:rPr>
        <w:t>zapewnia, aby osoby upoważnione były zobowiązane do poufności;</w:t>
      </w:r>
    </w:p>
    <w:p>
      <w:pPr>
        <w:keepLines/>
        <w:numPr>
          <w:ilvl w:val="0"/>
          <w:numId w:val="20"/>
        </w:numPr>
        <w:spacing w:after="60"/>
        <w:rPr>
          <w:lang w:val="pl-PL"/>
        </w:rPr>
      </w:pPr>
      <w:r>
        <w:rPr>
          <w:rFonts w:eastAsia="Calibri"/>
          <w:color w:val="000000"/>
          <w:lang w:val="pl-PL"/>
        </w:rPr>
        <w:t>stosuje środki bezpieczeństwa odpowiednie do ryzyka;</w:t>
      </w:r>
    </w:p>
    <w:p>
      <w:pPr>
        <w:keepLines/>
        <w:numPr>
          <w:ilvl w:val="0"/>
          <w:numId w:val="20"/>
        </w:numPr>
        <w:spacing w:after="60"/>
      </w:pPr>
      <w:r>
        <w:rPr>
          <w:rFonts w:eastAsia="Calibri"/>
          <w:color w:val="000000"/>
          <w:lang w:val="pl-PL"/>
        </w:rPr>
        <w:t>przestrzega zasad dalszego powierzenia;</w:t>
      </w:r>
    </w:p>
    <w:p>
      <w:pPr>
        <w:keepLines/>
        <w:numPr>
          <w:ilvl w:val="0"/>
          <w:numId w:val="20"/>
        </w:numPr>
        <w:spacing w:after="60"/>
        <w:rPr>
          <w:lang w:val="pl-PL"/>
        </w:rPr>
      </w:pPr>
      <w:r>
        <w:rPr>
          <w:rFonts w:eastAsia="Calibri"/>
          <w:color w:val="000000"/>
          <w:lang w:val="pl-PL"/>
        </w:rPr>
        <w:t>wspiera Administratora przy realizacji praw osób, ocenie ryzyka, ocenie skutków dla ochrony danych, konsultacjach z organem i obsłudze naruszeń w zakresie dostępnych informacji;</w:t>
      </w:r>
    </w:p>
    <w:p>
      <w:pPr>
        <w:keepLines/>
        <w:numPr>
          <w:ilvl w:val="0"/>
          <w:numId w:val="20"/>
        </w:numPr>
        <w:spacing w:after="60"/>
        <w:rPr>
          <w:lang w:val="pl-PL"/>
        </w:rPr>
      </w:pPr>
      <w:r>
        <w:rPr>
          <w:rFonts w:eastAsia="Calibri"/>
          <w:color w:val="000000"/>
          <w:lang w:val="pl-PL"/>
        </w:rPr>
        <w:t>udostępnia informacje potrzebne do wykazania zgodności z art. 28 RODO;</w:t>
      </w:r>
    </w:p>
    <w:p>
      <w:pPr>
        <w:keepLines/>
        <w:numPr>
          <w:ilvl w:val="0"/>
          <w:numId w:val="20"/>
        </w:numPr>
        <w:spacing w:after="60"/>
        <w:rPr>
          <w:lang w:val="pl-PL"/>
        </w:rPr>
      </w:pPr>
      <w:r>
        <w:rPr>
          <w:rFonts w:eastAsia="Calibri"/>
          <w:color w:val="000000"/>
          <w:lang w:val="pl-PL"/>
        </w:rPr>
        <w:t>usuwa albo zwraca dane po zakończeniu świadczenia Usługi, z uwzględnieniem obowiązków prawnych i cyklu kopii zapasowych;</w:t>
      </w:r>
    </w:p>
    <w:p>
      <w:pPr>
        <w:keepLines/>
        <w:numPr>
          <w:ilvl w:val="0"/>
          <w:numId w:val="20"/>
        </w:numPr>
        <w:spacing w:after="60"/>
        <w:rPr>
          <w:lang w:val="pl-PL"/>
        </w:rPr>
      </w:pPr>
      <w:r>
        <w:rPr>
          <w:rFonts w:eastAsia="Calibri"/>
          <w:color w:val="000000"/>
          <w:lang w:val="pl-PL"/>
        </w:rPr>
        <w:t>niezwłocznie informuje Administratora, jeżeli jego zdaniem polecenie narusza RODO albo inne przepisy o ochronie danych.</w:t>
      </w:r>
    </w:p>
    <w:p>
      <w:pPr>
        <w:keepLines/>
        <w:numPr>
          <w:ilvl w:val="0"/>
          <w:numId w:val="19"/>
        </w:numPr>
        <w:rPr>
          <w:lang w:val="pl-PL"/>
        </w:rPr>
      </w:pPr>
      <w:r>
        <w:rPr>
          <w:rFonts w:eastAsia="Calibri"/>
          <w:color w:val="000000"/>
          <w:lang w:val="pl-PL"/>
        </w:rPr>
        <w:t>Podmiot przetwarzający nie ujawnia danych osobom trzecim poza zakresem DPA, udokumentowanym poleceniem albo obowiązkiem prawnym.</w:t>
      </w:r>
    </w:p>
    <w:p>
      <w:pPr>
        <w:pStyle w:val="Nagwek1"/>
      </w:pPr>
      <w:r>
        <w:rPr>
          <w:rFonts w:eastAsia="Calibri"/>
          <w:lang w:val="pl-PL"/>
        </w:rPr>
        <w:t>8. Środki techniczne i organizacyjne</w:t>
      </w:r>
    </w:p>
    <w:p>
      <w:pPr>
        <w:keepLines/>
        <w:numPr>
          <w:ilvl w:val="0"/>
          <w:numId w:val="21"/>
        </w:numPr>
        <w:rPr>
          <w:lang w:val="pl-PL"/>
        </w:rPr>
      </w:pPr>
      <w:r>
        <w:t>Przed przetwarzaniem realnych danych Podmiot przetwarzający wdraża i utrzymuje środki adekwatne do ryzyka dla każdego związanego tuple Klient–Delegacja–Agent–Wallet–Buyer Binding, w szczególności:</w:t>
      </w:r>
    </w:p>
    <w:p>
      <w:pPr>
        <w:keepLines/>
        <w:numPr>
          <w:ilvl w:val="0"/>
          <w:numId w:val="22"/>
        </w:numPr>
        <w:spacing w:after="60"/>
        <w:rPr>
          <w:lang w:val="pl-PL"/>
        </w:rPr>
      </w:pPr>
      <w:r>
        <w:rPr>
          <w:rFonts w:eastAsia="Calibri"/>
          <w:color w:val="000000"/>
          <w:lang w:val="pl-PL"/>
        </w:rPr>
        <w:t>uwierzytelnianie i autoryzację dostępu do API;</w:t>
      </w:r>
    </w:p>
    <w:p>
      <w:pPr>
        <w:keepLines/>
        <w:numPr>
          <w:ilvl w:val="0"/>
          <w:numId w:val="22"/>
        </w:numPr>
        <w:spacing w:after="60"/>
        <w:rPr>
          <w:lang w:val="pl-PL"/>
        </w:rPr>
      </w:pPr>
      <w:r>
        <w:rPr>
          <w:rFonts w:eastAsia="Calibri"/>
          <w:color w:val="000000"/>
          <w:lang w:val="pl-PL"/>
        </w:rPr>
        <w:t xml:space="preserve">indywidualne </w:t>
      </w:r>
      <w:proofErr w:type="spellStart"/>
      <w:r>
        <w:rPr>
          <w:rFonts w:eastAsia="Calibri"/>
          <w:color w:val="000000"/>
          <w:lang w:val="pl-PL"/>
        </w:rPr>
        <w:t>Credentiale</w:t>
      </w:r>
      <w:proofErr w:type="spellEnd"/>
      <w:r>
        <w:rPr>
          <w:rFonts w:eastAsia="Calibri"/>
          <w:color w:val="000000"/>
          <w:lang w:val="pl-PL"/>
        </w:rPr>
        <w:t xml:space="preserve"> oraz odwoływanie skompromitowanego dostępu;</w:t>
      </w:r>
    </w:p>
    <w:p>
      <w:pPr>
        <w:keepLines/>
        <w:numPr>
          <w:ilvl w:val="0"/>
          <w:numId w:val="22"/>
        </w:numPr>
        <w:spacing w:after="60"/>
        <w:rPr>
          <w:lang w:val="pl-PL"/>
        </w:rPr>
      </w:pPr>
      <w:r>
        <w:rPr>
          <w:rFonts w:eastAsia="Calibri"/>
          <w:color w:val="000000"/>
          <w:lang w:val="pl-PL"/>
        </w:rPr>
        <w:t>zasadę najmniejszych uprawnień i rozdzielenie ról;</w:t>
      </w:r>
    </w:p>
    <w:p>
      <w:pPr>
        <w:keepLines/>
        <w:numPr>
          <w:ilvl w:val="0"/>
          <w:numId w:val="22"/>
        </w:numPr>
        <w:spacing w:after="60"/>
      </w:pPr>
      <w:r>
        <w:rPr>
          <w:rFonts w:eastAsia="Calibri"/>
          <w:color w:val="000000"/>
          <w:lang w:val="pl-PL"/>
        </w:rPr>
        <w:t>szyfrowanie transmisji przez TLS;</w:t>
      </w:r>
    </w:p>
    <w:p>
      <w:pPr>
        <w:keepLines/>
        <w:numPr>
          <w:ilvl w:val="0"/>
          <w:numId w:val="22"/>
        </w:numPr>
        <w:spacing w:after="60"/>
        <w:rPr>
          <w:lang w:val="pl-PL"/>
        </w:rPr>
      </w:pPr>
      <w:r>
        <w:rPr>
          <w:rFonts w:eastAsia="Calibri"/>
          <w:color w:val="000000"/>
          <w:lang w:val="pl-PL"/>
        </w:rPr>
        <w:t>separację środowisk testowych i produkcyjnych;</w:t>
      </w:r>
    </w:p>
    <w:p>
      <w:pPr>
        <w:keepLines/>
        <w:numPr>
          <w:ilvl w:val="0"/>
          <w:numId w:val="22"/>
        </w:numPr>
        <w:spacing w:after="60"/>
        <w:rPr>
          <w:lang w:val="pl-PL"/>
        </w:rPr>
      </w:pPr>
      <w:r>
        <w:rPr>
          <w:rFonts w:eastAsia="Calibri"/>
          <w:color w:val="000000"/>
          <w:lang w:val="pl-PL"/>
        </w:rPr>
        <w:t>ograniczenie dostępu do wewnętrznego interfejsu kontroli Operatora, który nie jest udostępniany Klientowi i nie służy do ręcznego zatwierdzania poszczególnych Operacji;</w:t>
      </w:r>
    </w:p>
    <w:p>
      <w:pPr>
        <w:keepLines/>
        <w:numPr>
          <w:ilvl w:val="0"/>
          <w:numId w:val="22"/>
        </w:numPr>
        <w:spacing w:after="60"/>
        <w:rPr>
          <w:lang w:val="pl-PL"/>
        </w:rPr>
      </w:pPr>
      <w:r>
        <w:rPr>
          <w:lang w:val="pl-PL"/>
        </w:rPr>
        <w:t xml:space="preserve">minimalizację Payloadu, aktualną kontrolę DPA i Delegacji przed odczytem przez aplikację, w granicach pkt 4, oraz przejściowe przetwarzanie opisane w Załączniku D;</w:t>
      </w:r>
    </w:p>
    <w:p>
      <w:pPr>
        <w:keepLines/>
        <w:numPr>
          <w:ilvl w:val="0"/>
          <w:numId w:val="22"/>
        </w:numPr>
        <w:spacing w:after="60"/>
        <w:rPr>
          <w:lang w:val="pl-PL"/>
        </w:rPr>
      </w:pPr>
      <w:r>
        <w:rPr>
          <w:rFonts w:eastAsia="Calibri"/>
          <w:color w:val="000000"/>
          <w:lang w:val="pl-PL"/>
        </w:rPr>
        <w:t>redakcję sekretów i zakaz zapisywania kluczy prywatnych w logach;</w:t>
      </w:r>
    </w:p>
    <w:p>
      <w:pPr>
        <w:keepLines/>
        <w:numPr>
          <w:ilvl w:val="0"/>
          <w:numId w:val="22"/>
        </w:numPr>
        <w:spacing w:after="60"/>
        <w:rPr>
          <w:lang w:val="pl-PL"/>
        </w:rPr>
      </w:pPr>
      <w:r>
        <w:rPr>
          <w:lang w:val="pl-PL"/>
        </w:rPr>
        <w:t xml:space="preserve">utrwalanie wymaganych identyfikatorów, metadanych, statusów i hashy zamiast pełnej treści Payloadu, również w konfiguracji dopuszczenia Operacji;</w:t>
      </w:r>
    </w:p>
    <w:p>
      <w:pPr>
        <w:keepLines/>
        <w:numPr>
          <w:ilvl w:val="0"/>
          <w:numId w:val="22"/>
        </w:numPr>
        <w:spacing w:after="60"/>
      </w:pPr>
      <w:r>
        <w:rPr>
          <w:rFonts w:eastAsia="Calibri"/>
          <w:color w:val="000000"/>
          <w:lang w:val="pl-PL"/>
        </w:rPr>
        <w:t xml:space="preserve">kontrolę integralności zachowanych dowodów oraz minimalne znaczniki wykonanej retencji; znaczniki nie zastępują treści usuniętego dowodu ani nie są automatycznie anonimowe;</w:t>
      </w:r>
    </w:p>
    <w:p>
      <w:pPr>
        <w:keepLines/>
        <w:numPr>
          <w:ilvl w:val="0"/>
          <w:numId w:val="22"/>
        </w:numPr>
        <w:spacing w:after="60"/>
        <w:rPr>
          <w:lang w:val="pl-PL"/>
        </w:rPr>
      </w:pPr>
      <w:r>
        <w:rPr>
          <w:rFonts w:eastAsia="Calibri"/>
          <w:color w:val="000000"/>
          <w:lang w:val="pl-PL"/>
        </w:rPr>
        <w:t>jeżeli kopie zapasowe obejmują dane powierzone – kontrolowane kopie, testy odczytu, procedury odtwarzania oraz maksymalnie 30-dniowy cykl rotacyjny;</w:t>
      </w:r>
    </w:p>
    <w:p>
      <w:pPr>
        <w:keepLines/>
        <w:numPr>
          <w:ilvl w:val="0"/>
          <w:numId w:val="22"/>
        </w:numPr>
        <w:spacing w:after="60"/>
        <w:rPr>
          <w:lang w:val="pl-PL"/>
        </w:rPr>
      </w:pPr>
      <w:proofErr w:type="spellStart"/>
      <w:proofErr w:type="spellEnd"/>
      <w:proofErr w:type="spellStart"/>
      <w:proofErr w:type="spellEnd"/>
      <w:r>
        <w:rPr>
          <w:rFonts w:eastAsia="Calibri"/>
          <w:color w:val="000000"/>
          <w:lang w:val="pl-PL"/>
        </w:rPr>
        <w:t>izolowanie Operacji o niejednoznacznym statusie, brak automatycznego retry płatności oraz reconciliation przed podjęciem dalszego działania;</w:t>
      </w:r>
    </w:p>
    <w:p>
      <w:pPr>
        <w:keepLines/>
        <w:numPr>
          <w:ilvl w:val="0"/>
          <w:numId w:val="22"/>
        </w:numPr>
        <w:spacing w:after="60"/>
        <w:rPr>
          <w:lang w:val="pl-PL"/>
        </w:rPr>
      </w:pPr>
      <w:r>
        <w:rPr>
          <w:rFonts w:eastAsia="Calibri"/>
          <w:color w:val="000000"/>
          <w:lang w:val="pl-PL"/>
        </w:rPr>
        <w:t>rejestrowanie i analizę incydentów oraz okresowe testy bezpieczeństwa.</w:t>
      </w:r>
    </w:p>
    <w:p>
      <w:pPr>
        <w:keepLines/>
        <w:numPr>
          <w:ilvl w:val="0"/>
          <w:numId w:val="21"/>
        </w:numPr>
        <w:rPr>
          <w:lang w:val="pl-PL"/>
        </w:rPr>
      </w:pPr>
      <w:r>
        <w:rPr>
          <w:rFonts w:eastAsia="Calibri"/>
          <w:color w:val="000000"/>
          <w:lang w:val="pl-PL"/>
        </w:rPr>
        <w:t>Szczegółowy opis środków może być aktualizowany w sposób nieobniżający ogólnego poziomu bezpieczeństwa.</w:t>
      </w:r>
    </w:p>
    <w:p>
      <w:pPr>
        <w:pStyle w:val="Nagwek1"/>
      </w:pPr>
      <w:r>
        <w:rPr>
          <w:rFonts w:eastAsia="Calibri"/>
          <w:lang w:val="pl-PL"/>
        </w:rPr>
        <w:t>9. Naruszenia ochrony danych</w:t>
      </w:r>
    </w:p>
    <w:p>
      <w:pPr>
        <w:keepLines/>
        <w:numPr>
          <w:ilvl w:val="0"/>
          <w:numId w:val="23"/>
        </w:numPr>
        <w:rPr>
          <w:lang w:val="pl-PL"/>
        </w:rPr>
      </w:pPr>
      <w:r>
        <w:t>Podmiot przetwarzający informuje Administratora o stwierdzonym naruszeniu ochrony danych bez zbędnej zwłoki, nie później niż w ciągu 48 godzin od stwierdzenia; jeżeli to samo zdarzenie podlega 24-godzinnej ścieżce art. 19a eIDAS, pierwsze zawiadomienie następuje nie później niż w tym krótszym terminie.</w:t>
      </w:r>
    </w:p>
    <w:p>
      <w:pPr>
        <w:keepLines/>
        <w:numPr>
          <w:ilvl w:val="0"/>
          <w:numId w:val="23"/>
        </w:numPr>
        <w:rPr>
          <w:lang w:val="pl-PL"/>
        </w:rPr>
      </w:pPr>
      <w:r>
        <w:rPr>
          <w:rFonts w:eastAsia="Calibri"/>
          <w:color w:val="000000"/>
          <w:lang w:val="pl-PL"/>
        </w:rPr>
        <w:t>Zawiadomienie zawiera dostępne informacje o charakterze naruszenia, kategoriach i przybliżonej liczbie osób i rekordów, możliwych konsekwencjach, zastosowanych albo planowanych środkach oraz punkcie kontaktowym.</w:t>
      </w:r>
    </w:p>
    <w:p>
      <w:pPr>
        <w:keepLines/>
        <w:numPr>
          <w:ilvl w:val="0"/>
          <w:numId w:val="23"/>
        </w:numPr>
        <w:rPr>
          <w:lang w:val="pl-PL"/>
        </w:rPr>
      </w:pPr>
      <w:r>
        <w:rPr>
          <w:rFonts w:eastAsia="Calibri"/>
          <w:color w:val="000000"/>
          <w:lang w:val="pl-PL"/>
        </w:rPr>
        <w:t>Jeżeli pełne informacje nie są dostępne jednocześnie, pierwsze zawiadomienie jest przekazywane w terminie wskazanym powyżej, a kolejne informacje są uzupełniane etapami bez dalszej nieuzasadnionej zwłoki.</w:t>
      </w:r>
    </w:p>
    <w:p>
      <w:pPr>
        <w:keepLines/>
        <w:numPr>
          <w:ilvl w:val="0"/>
          <w:numId w:val="23"/>
        </w:numPr>
        <w:rPr>
          <w:lang w:val="pl-PL"/>
        </w:rPr>
      </w:pPr>
      <w:r>
        <w:rPr>
          <w:rFonts w:eastAsia="Calibri"/>
          <w:color w:val="000000"/>
          <w:lang w:val="pl-PL"/>
        </w:rPr>
        <w:t>Administrator decyduje o zgłoszeniu naruszenia organowi nadzorczemu i zawiadomieniu osób, chyba że bezwzględnie obowiązujące prawo stanowi inaczej.</w:t>
      </w:r>
    </w:p>
    <w:p>
      <w:pPr>
        <w:pStyle w:val="Nagwek1"/>
      </w:pPr>
      <w:r>
        <w:rPr>
          <w:rFonts w:eastAsia="Calibri"/>
          <w:lang w:val="pl-PL"/>
        </w:rPr>
        <w:t>10. Prawa osób i współpraca</w:t>
      </w:r>
    </w:p>
    <w:p>
      <w:pPr>
        <w:keepLines/>
        <w:numPr>
          <w:ilvl w:val="0"/>
          <w:numId w:val="24"/>
        </w:numPr>
        <w:rPr>
          <w:lang w:val="pl-PL"/>
        </w:rPr>
      </w:pPr>
      <w:r>
        <w:rPr>
          <w:rFonts w:eastAsia="Calibri"/>
          <w:color w:val="000000"/>
          <w:lang w:val="pl-PL"/>
        </w:rPr>
        <w:t>Podmiot przetwarzający przekazuje Administratorowi żądanie osoby dotyczące danych powierzonych, jeżeli może ustalić właściwego Administratora.</w:t>
      </w:r>
    </w:p>
    <w:p>
      <w:pPr>
        <w:keepLines/>
        <w:numPr>
          <w:ilvl w:val="0"/>
          <w:numId w:val="24"/>
        </w:numPr>
        <w:rPr>
          <w:lang w:val="pl-PL"/>
        </w:rPr>
      </w:pPr>
      <w:r>
        <w:rPr>
          <w:rFonts w:eastAsia="Calibri"/>
          <w:color w:val="000000"/>
          <w:lang w:val="pl-PL"/>
        </w:rPr>
        <w:t>Podmiot przetwarzający nie odpowiada samodzielnie na takie żądanie, chyba że Administrator udzieli instrukcji albo wymaga tego prawo.</w:t>
      </w:r>
    </w:p>
    <w:p>
      <w:pPr>
        <w:keepLines/>
        <w:numPr>
          <w:ilvl w:val="0"/>
          <w:numId w:val="24"/>
        </w:numPr>
        <w:rPr>
          <w:lang w:val="pl-PL"/>
        </w:rPr>
      </w:pPr>
      <w:r>
        <w:rPr>
          <w:rFonts w:eastAsia="Calibri"/>
          <w:color w:val="000000"/>
          <w:lang w:val="pl-PL"/>
        </w:rPr>
        <w:t>Z uwzględnieniem charakteru przetwarzania Podmiot przetwarzający wspiera Administratora przez odpowiednie środki techniczne i organizacyjne.</w:t>
      </w:r>
    </w:p>
    <w:p>
      <w:pPr>
        <w:pStyle w:val="Nagwek1"/>
      </w:pPr>
      <w:r>
        <w:rPr>
          <w:rFonts w:eastAsia="Calibri"/>
          <w:lang w:val="pl-PL"/>
        </w:rPr>
        <w:t>11. Dalsze powierzenie</w:t>
      </w:r>
    </w:p>
    <w:p>
      <w:pPr>
        <w:keepLines/>
        <w:numPr>
          <w:ilvl w:val="0"/>
          <w:numId w:val="25"/>
        </w:numPr>
        <w:rPr>
          <w:lang w:val="pl-PL"/>
        </w:rPr>
      </w:pPr>
      <w:r>
        <w:rPr>
          <w:rFonts w:eastAsia="Calibri"/>
          <w:color w:val="000000"/>
          <w:lang w:val="pl-PL"/>
        </w:rPr>
        <w:t>Administrator udziela ogólnej zgody na korzystanie z podprocesorów wymienionych w Załączniku C.</w:t>
      </w:r>
    </w:p>
    <w:p>
      <w:pPr>
        <w:keepLines/>
        <w:numPr>
          <w:ilvl w:val="0"/>
          <w:numId w:val="25"/>
        </w:numPr>
        <w:rPr>
          <w:lang w:val="pl-PL"/>
        </w:rPr>
      </w:pPr>
      <w:r>
        <w:rPr>
          <w:rFonts w:eastAsia="Calibri"/>
          <w:color w:val="000000"/>
          <w:lang w:val="pl-PL"/>
        </w:rPr>
        <w:t>Podmiot przetwarzający zapewnia, aby podprocesor był związany obowiązkami ochrony danych co najmniej równoważnymi obowiązkom wynikającym z DPA.</w:t>
      </w:r>
    </w:p>
    <w:p>
      <w:pPr>
        <w:keepLines/>
        <w:numPr>
          <w:ilvl w:val="0"/>
          <w:numId w:val="25"/>
        </w:numPr>
        <w:rPr>
          <w:lang w:val="pl-PL"/>
        </w:rPr>
      </w:pPr>
      <w:r>
        <w:rPr>
          <w:rFonts w:eastAsia="Calibri"/>
          <w:color w:val="000000"/>
          <w:lang w:val="pl-PL"/>
        </w:rPr>
        <w:t>Podmiot przetwarzający informuje Administratora o planowanym dodaniu albo zmianie podprocesora co najmniej 7 dni przed rozpoczęciem przetwarzania przez ten podmiot, przekazując jego nazwę, zakres usługi, lokalizację i podstawę ewentualnego transferu.</w:t>
      </w:r>
    </w:p>
    <w:p>
      <w:pPr>
        <w:keepLines/>
        <w:numPr>
          <w:ilvl w:val="0"/>
          <w:numId w:val="25"/>
        </w:numPr>
        <w:rPr>
          <w:lang w:val="pl-PL"/>
        </w:rPr>
      </w:pPr>
      <w:r>
        <w:rPr>
          <w:rFonts w:eastAsia="Calibri"/>
          <w:color w:val="000000"/>
          <w:lang w:val="pl-PL"/>
        </w:rPr>
        <w:t>Administrator może w terminie 7 dni od otrzymania informacji wnieść uzasadniony sprzeciw dotyczący ochrony danych. Strony podejmują próbę uzgodnienia rozwiązania, a jeżeli nie jest to możliwe, Administrator może zakończyć korzystanie z zakresu Usługi wymagającego danego podprocesora.</w:t>
      </w:r>
    </w:p>
    <w:p>
      <w:pPr>
        <w:keepLines/>
        <w:numPr>
          <w:ilvl w:val="0"/>
          <w:numId w:val="25"/>
        </w:numPr>
        <w:rPr>
          <w:lang w:val="pl-PL"/>
        </w:rPr>
      </w:pPr>
      <w:r>
        <w:rPr>
          <w:rFonts w:eastAsia="Calibri"/>
          <w:color w:val="000000"/>
          <w:lang w:val="pl-PL"/>
        </w:rPr>
        <w:t>Podmiot przetwarzający pozostaje odpowiedzialny wobec Administratora za wykonanie obowiązków podprocesora w zakresie wymaganym przez RODO.</w:t>
      </w:r>
    </w:p>
    <w:p>
      <w:pPr>
        <w:pStyle w:val="Nagwek1"/>
      </w:pPr>
      <w:r>
        <w:rPr>
          <w:rFonts w:eastAsia="Calibri"/>
          <w:lang w:val="pl-PL"/>
        </w:rPr>
        <w:t>12. Transfery poza EOG</w:t>
      </w:r>
    </w:p>
    <w:p>
      <w:pPr>
        <w:keepLines/>
        <w:numPr>
          <w:ilvl w:val="0"/>
          <w:numId w:val="26"/>
        </w:numPr>
        <w:rPr>
          <w:lang w:val="pl-PL"/>
        </w:rPr>
      </w:pPr>
      <w:r>
        <w:rPr>
          <w:lang w:val="pl-PL"/>
        </w:rPr>
        <w:t xml:space="preserve">Dla danych powierzonych przekazywanych przez Cloudflare stosuje się mechanizm z Załącznika C. Dane nie są przekazywane poza EOG bez właściwej podstawy zgodnej z rozdziałem V RODO.</w:t>
      </w:r>
    </w:p>
    <w:p>
      <w:pPr>
        <w:keepLines/>
        <w:numPr>
          <w:ilvl w:val="0"/>
          <w:numId w:val="26"/>
        </w:numPr>
        <w:rPr>
          <w:lang w:val="pl-PL"/>
        </w:rPr>
      </w:pPr>
      <w:r>
        <w:rPr>
          <w:lang w:val="pl-PL"/>
        </w:rPr>
        <w:t xml:space="preserve">W przepływie do Cloudflare, Inc. w USA objętym EU–US Data Privacy Framework podstawą jest decyzja Komisji o odpowiednim stopniu ochrony. Przy transferze nieobjętym tą podstawą stosuje się moduł 3 SCC, ponieważ Operator działa tu jako procesor Klienta; wymagane zabezpieczenia i dalsze transfery określa </w:t>
      </w:r>
      <w:hyperlink r:id="rIdLegal151CF">
        <w:r>
          <w:rPr>
            <w:lang w:val="pl-PL"/>
            <w:color w:val="174B74"/>
            <w:u w:val="single"/>
          </w:rPr>
          <w:t xml:space="preserve">DPA Cloudflare, pkt 6</w:t>
        </w:r>
      </w:hyperlink>
      <w:r>
        <w:rPr>
          <w:lang w:val="pl-PL"/>
        </w:rPr>
        <w:t xml:space="preserve">.</w:t>
      </w:r>
    </w:p>
    <w:p>
      <w:pPr>
        <w:keepLines/>
        <w:numPr>
          <w:ilvl w:val="0"/>
          <w:numId w:val="26"/>
        </w:numPr>
        <w:rPr>
          <w:lang w:val="pl-PL"/>
        </w:rPr>
      </w:pPr>
      <w:r>
        <w:rPr>
          <w:lang w:val="pl-PL"/>
        </w:rPr>
        <w:t xml:space="preserve">Administrator otrzymuje informacje o nowym podprocesorze i transferze według pkt 11. Tekst zabezpieczeń jest dostępny przez odnośniki w Załączniku C, a ich kopię z istotnymi załącznikami można otrzymać bezpłatnie pod privacy@integrityphase.com, z ochroną danych innych osób i tajemnic handlowych.</w:t>
      </w:r>
    </w:p>
    <w:p>
      <w:pPr>
        <w:pStyle w:val="Nagwek1"/>
      </w:pPr>
      <w:r>
        <w:rPr>
          <w:rFonts w:eastAsia="Calibri"/>
          <w:lang w:val="pl-PL"/>
        </w:rPr>
        <w:t>13. Audyty i informacje o zgodności</w:t>
      </w:r>
    </w:p>
    <w:p>
      <w:pPr>
        <w:keepLines/>
        <w:numPr>
          <w:ilvl w:val="0"/>
          <w:numId w:val="27"/>
        </w:numPr>
        <w:rPr>
          <w:lang w:val="pl-PL"/>
        </w:rPr>
      </w:pPr>
      <w:r>
        <w:rPr>
          <w:rFonts w:eastAsia="Calibri"/>
          <w:color w:val="000000"/>
          <w:lang w:val="pl-PL"/>
        </w:rPr>
        <w:t>Podmiot przetwarzający udostępnia Administratorowi informacje rozsądnie niezbędne do wykazania zgodności z DPA i art. 28 RODO.</w:t>
      </w:r>
    </w:p>
    <w:p>
      <w:pPr>
        <w:keepLines/>
        <w:numPr>
          <w:ilvl w:val="0"/>
          <w:numId w:val="27"/>
        </w:numPr>
        <w:rPr>
          <w:lang w:val="pl-PL"/>
        </w:rPr>
      </w:pPr>
      <w:r>
        <w:rPr>
          <w:rFonts w:eastAsia="Calibri"/>
          <w:color w:val="000000"/>
          <w:lang w:val="pl-PL"/>
        </w:rPr>
        <w:t>Administrator może przeprowadzić audyt w zakresie i z częstotliwością rozsądnie niezbędnymi do wykazania zgodności z DPA, po uprzednim zawiadomieniu i rozsądnej koordynacji terminu. Wymóg wyprzedzenia nie ma zastosowania, gdy audyt jest uzasadniony naruszeniem, poleceniem organu albo istotnym ryzykiem.</w:t>
      </w:r>
    </w:p>
    <w:p>
      <w:pPr>
        <w:keepLines/>
        <w:numPr>
          <w:ilvl w:val="0"/>
          <w:numId w:val="27"/>
        </w:numPr>
        <w:rPr>
          <w:lang w:val="pl-PL"/>
        </w:rPr>
      </w:pPr>
      <w:r>
        <w:rPr>
          <w:rFonts w:eastAsia="Calibri"/>
          <w:color w:val="000000"/>
          <w:lang w:val="pl-PL"/>
        </w:rPr>
        <w:t>Audyt odbywa się w godzinach pracy, w sposób niezakłócający Usługi i bez dostępu do danych innych klientów, sekretów, kodu źródłowego lub informacji, których ujawnienie mogłoby osłabić bezpieczeństwo.</w:t>
      </w:r>
    </w:p>
    <w:p>
      <w:pPr>
        <w:keepLines/>
        <w:numPr>
          <w:ilvl w:val="0"/>
          <w:numId w:val="27"/>
        </w:numPr>
        <w:rPr>
          <w:lang w:val="pl-PL"/>
        </w:rPr>
      </w:pPr>
      <w:r>
        <w:rPr>
          <w:rFonts w:eastAsia="Calibri"/>
          <w:color w:val="000000"/>
          <w:lang w:val="pl-PL"/>
        </w:rPr>
        <w:t>W pierwszej kolejności Strony wykorzystują kwestionariusze, raporty, wyniki testów lub inne dostępne dowody. Audyt na miejscu jest stosowany, gdy te środki są niewystarczające.</w:t>
      </w:r>
    </w:p>
    <w:p>
      <w:pPr>
        <w:keepLines/>
        <w:numPr>
          <w:ilvl w:val="0"/>
          <w:numId w:val="27"/>
        </w:numPr>
        <w:rPr>
          <w:lang w:val="pl-PL"/>
        </w:rPr>
      </w:pPr>
      <w:r>
        <w:rPr>
          <w:rFonts w:eastAsia="Calibri"/>
          <w:color w:val="000000"/>
          <w:lang w:val="pl-PL"/>
        </w:rPr>
        <w:t>Koszty audytu ponosi Administrator, chyba że audyt wykaże istotne naruszenie DPA przez Podmiot przetwarzający.</w:t>
      </w:r>
    </w:p>
    <w:p>
      <w:pPr>
        <w:pStyle w:val="Nagwek1"/>
      </w:pPr>
      <w:r>
        <w:rPr>
          <w:rFonts w:eastAsia="Calibri"/>
          <w:lang w:val="pl-PL"/>
        </w:rPr>
        <w:t>14. Usunięcie i zwrot danych</w:t>
      </w:r>
    </w:p>
    <w:p>
      <w:pPr>
        <w:keepLines/>
        <w:numPr>
          <w:ilvl w:val="0"/>
          <w:numId w:val="28"/>
        </w:numPr>
        <w:rPr>
          <w:lang w:val="pl-PL"/>
        </w:rPr>
      </w:pPr>
      <w:r>
        <w:rPr>
          <w:lang w:val="pl-PL"/>
        </w:rPr>
        <w:t xml:space="preserve">Po zakończeniu przetwarzania danej kategorii Podmiot przetwarzający usuwa albo, zgodnie z wyborem Administratora, zwraca dane powierzone i usuwa ich istniejące kopie, chyba że prawo Unii lub państwa członkowskiego wymaga dalszego przechowywania. Akceptując DPA, Administrator zleca domyślnie usunięcie; do zakończenia przetwarzania może wybrać zwrot. Nie jest potrzebne późniejsze polecenie, aby uruchomić termin usunięcia.</w:t>
      </w:r>
    </w:p>
    <w:p>
      <w:pPr>
        <w:keepLines/>
        <w:numPr>
          <w:ilvl w:val="0"/>
          <w:numId w:val="28"/>
        </w:numPr>
        <w:rPr>
          <w:lang w:val="pl-PL"/>
        </w:rPr>
      </w:pPr>
      <w:r>
        <w:rPr>
          <w:lang w:val="pl-PL"/>
        </w:rPr>
        <w:t xml:space="preserve">Aktywne dane są usuwane albo zwracane bez zbędnej zwłoki, nie później niż w ciągu 30 dni od zakończenia przetwarzania danej kategorii, z uwzględnieniem krótszych terminów Załącznika D lub prawa. Przy zwrocie usuwa się pozostałe kopie na tych samych zasadach. Termin 30 dni jest umownym maksimum, a nie ustawowym okresem przechowywania. Surowy Payload jest zwalniany po obsłudze Żądania i nie jest zachowywany przez te 30 dni.</w:t>
      </w:r>
    </w:p>
    <w:p>
      <w:pPr>
        <w:keepLines/>
        <w:numPr>
          <w:ilvl w:val="0"/>
          <w:numId w:val="28"/>
        </w:numPr>
        <w:rPr>
          <w:lang w:val="pl-PL"/>
        </w:rPr>
      </w:pPr>
      <w:r>
        <w:rPr>
          <w:lang w:val="pl-PL"/>
        </w:rPr>
        <w:t xml:space="preserve">Kopie obejmujące dane podlegające usunięciu pozostają odizolowane i nie są wykorzystywane do zwykłego przetwarzania. Wygasają przez nadpisanie lub usunięcie w cyklu nie dłuższym niż 30 dni. Przed wznowieniem pracy po odtworzeniu kopii ponownie stosuje się usunięcia i ograniczenia; odtworzenie nie odnawia ich okresu retencji.</w:t>
      </w:r>
    </w:p>
    <w:p>
      <w:pPr>
        <w:keepLines/>
        <w:numPr>
          <w:ilvl w:val="0"/>
          <w:numId w:val="28"/>
        </w:numPr>
        <w:rPr>
          <w:lang w:val="pl-PL"/>
        </w:rPr>
      </w:pPr>
      <w:r>
        <w:rPr>
          <w:lang w:val="pl-PL"/>
        </w:rPr>
        <w:t xml:space="preserve">Operator może zachować w roli odrębnego administratora tylko dane niezbędne dla określonych własnych celów i podstaw opisanych w Polityce Prywatności, w szczególności faktury i dowody rozliczenia. Nie przedłuża to przechowywania całego zbioru powierzonego. Techniczny zapis związany z płatnością nie staje się w całości dokumentacją księgową.</w:t>
      </w:r>
    </w:p>
    <w:p>
      <w:pPr>
        <w:pStyle w:val="Nagwek1"/>
      </w:pPr>
      <w:r>
        <w:rPr>
          <w:rFonts w:eastAsia="Calibri"/>
          <w:lang w:val="pl-PL"/>
        </w:rPr>
        <w:t>15. Odpowiedzialność i pierwszeństwo dokumentów</w:t>
      </w:r>
    </w:p>
    <w:p>
      <w:pPr>
        <w:keepLines/>
        <w:numPr>
          <w:ilvl w:val="0"/>
          <w:numId w:val="29"/>
        </w:numPr>
        <w:rPr>
          <w:lang w:val="pl-PL"/>
        </w:rPr>
      </w:pPr>
      <w:r>
        <w:rPr>
          <w:rFonts w:eastAsia="Calibri"/>
          <w:color w:val="000000"/>
          <w:lang w:val="pl-PL"/>
        </w:rPr>
        <w:t>Odpowiedzialność Stron za naruszenie DPA jest określona w RODO, obowiązujących przepisach i Regulaminie B2B/API, z zastrzeżeniem odpowiedzialności, której nie można ograniczyć.</w:t>
      </w:r>
    </w:p>
    <w:p>
      <w:pPr>
        <w:keepLines/>
        <w:numPr>
          <w:ilvl w:val="0"/>
          <w:numId w:val="29"/>
        </w:numPr>
        <w:rPr>
          <w:lang w:val="pl-PL"/>
        </w:rPr>
      </w:pPr>
      <w:r>
        <w:rPr>
          <w:rFonts w:eastAsia="Calibri"/>
          <w:color w:val="000000"/>
          <w:lang w:val="pl-PL"/>
        </w:rPr>
        <w:t>W razie sprzeczności dotyczącej przetwarzania danych osobowych pierwszeństwo ma DPA, następnie Regulamin i Dokumentacja API.</w:t>
      </w:r>
    </w:p>
    <w:p>
      <w:pPr>
        <w:keepLines/>
        <w:numPr>
          <w:ilvl w:val="0"/>
          <w:numId w:val="29"/>
        </w:numPr>
        <w:rPr>
          <w:lang w:val="pl-PL"/>
        </w:rPr>
      </w:pPr>
      <w:r>
        <w:rPr>
          <w:rFonts w:eastAsia="Calibri"/>
          <w:color w:val="000000"/>
          <w:lang w:val="pl-PL"/>
        </w:rPr>
        <w:t>Do DPA stosuje się prawo polskie. Spory są rozstrzygane zgodnie z zasadami określonymi w Regulaminie, w zakresie dopuszczalnym przez prawo.</w:t>
      </w:r>
    </w:p>
    <w:p>
      <w:pPr>
        <w:pStyle w:val="Nagwek1"/>
      </w:pPr>
      <w:r>
        <w:rPr>
          <w:rFonts w:eastAsia="Calibri"/>
          <w:lang w:val="pl-PL"/>
        </w:rPr>
        <w:t>16. Postanowienie końcowe</w:t>
      </w:r>
    </w:p>
    <w:p>
      <w:pPr>
        <w:keepLines/>
        <w:numPr>
          <w:ilvl w:val="0"/>
          <w:numId w:val="30"/>
        </w:numPr>
        <w:rPr>
          <w:lang w:val="pl-PL"/>
        </w:rPr>
      </w:pPr>
      <w:r>
        <w:rPr>
          <w:lang w:val="pl-PL"/>
        </w:rPr>
        <w:t xml:space="preserve">Wersja 1.5.2 z 30 września 2026 r. jest przedstawiana Agentowi przed akceptacją zgodną z pkt 2. Zachowuje profil deklarowanego upoważnienia i wymóg rzeczywistego umocowania. Nie działa wstecz; wcześniejsze wersje, akceptacje i dowody pozostają zachowane. Zmiana zakresu przetwarzania podlega wymaganiom tej DPA.</w:t>
      </w:r>
    </w:p>
    <w:p>
      <w:pPr>
        <w:pStyle w:val="Nagwek1"/>
        <w:pageBreakBefore/>
      </w:pPr>
      <w:r>
        <w:rPr>
          <w:rFonts w:eastAsia="Calibri"/>
          <w:lang w:val="pl-PL"/>
        </w:rPr>
        <w:lastRenderedPageBreak/>
        <w:t>ZAŁĄCZNIK A – OPIS PRZETWARZANIA</w:t>
      </w:r>
    </w:p>
    <w:tbl>
      <w:tblPr>
        <w:tblW w:w="9412" w:type="dxa"/>
        <w:tblInd w:w="120" w:type="dxa"/>
        <w:tblBorders>
          <w:top w:val="single" w:sz="5" w:space="0" w:color="C9D2DD"/>
          <w:left w:val="single" w:sz="5" w:space="0" w:color="C9D2DD"/>
          <w:bottom w:val="single" w:sz="5" w:space="0" w:color="C9D2DD"/>
          <w:right w:val="single" w:sz="5" w:space="0" w:color="C9D2DD"/>
          <w:insideH w:val="single" w:sz="5" w:space="0" w:color="C9D2DD"/>
          <w:insideV w:val="single" w:sz="5" w:space="0" w:color="C9D2DD"/>
        </w:tblBorders>
        <w:tblLayout w:type="fixed"/>
        <w:tblLook w:val="04A0"/>
      </w:tblPr>
      <w:tblGrid>
        <w:gridCol w:w="3050"/>
        <w:gridCol w:w="6362"/>
      </w:tblGrid>
      <w:tr>
        <w:trPr>
          <w:tblHeader/>
          <w:cantSplit/>
        </w:trPr>
        <w:tc>
          <w:tcPr>
            <w:tcW w:w="3050" w:type="dxa"/>
            <w:shd w:val="clear" w:color="auto" w:fill="E8EEF5"/>
            <w:tcMar>
              <w:top w:w="90" w:type="dxa"/>
              <w:left w:w="120" w:type="dxa"/>
              <w:bottom w:w="90" w:type="dxa"/>
              <w:right w:w="120" w:type="dxa"/>
            </w:tcMar>
            <w:vAlign w:val="center"/>
          </w:tcPr>
          <w:p>
            <w:pPr>
              <w:spacing w:after="0" w:line="252" w:lineRule="auto"/>
            </w:pPr>
            <w:r>
              <w:rPr>
                <w:rFonts w:eastAsia="Calibri"/>
                <w:b/>
                <w:color w:val="000000"/>
                <w:sz w:val="18"/>
                <w:lang w:val="pl-PL"/>
              </w:rPr>
              <w:t>Element</w:t>
            </w:r>
          </w:p>
        </w:tc>
        <w:tc>
          <w:tcPr>
            <w:tcW w:w="6362" w:type="dxa"/>
            <w:shd w:val="clear" w:color="auto" w:fill="E8EEF5"/>
            <w:tcMar>
              <w:top w:w="90" w:type="dxa"/>
              <w:left w:w="120" w:type="dxa"/>
              <w:bottom w:w="90" w:type="dxa"/>
              <w:right w:w="120" w:type="dxa"/>
            </w:tcMar>
            <w:vAlign w:val="center"/>
          </w:tcPr>
          <w:p>
            <w:pPr>
              <w:spacing w:after="0" w:line="252" w:lineRule="auto"/>
            </w:pPr>
            <w:r>
              <w:rPr>
                <w:rFonts w:eastAsia="Calibri"/>
                <w:b/>
                <w:color w:val="000000"/>
                <w:sz w:val="18"/>
                <w:lang w:val="pl-PL"/>
              </w:rPr>
              <w:t>Zakres</w:t>
            </w:r>
          </w:p>
        </w:tc>
      </w:tr>
      <w:tr>
        <w:tc>
          <w:tcPr>
            <w:tcW w:w="3050" w:type="dxa"/>
            <w:tcMar>
              <w:top w:w="90" w:type="dxa"/>
              <w:left w:w="120" w:type="dxa"/>
              <w:bottom w:w="90" w:type="dxa"/>
              <w:right w:w="120" w:type="dxa"/>
            </w:tcMar>
            <w:vAlign w:val="center"/>
          </w:tcPr>
          <w:p>
            <w:r>
              <w:t xml:space="preserve">Przedmiot</w:t>
            </w:r>
          </w:p>
        </w:tc>
        <w:tc>
          <w:tcPr>
            <w:tcW w:w="6362" w:type="dxa"/>
            <w:tcMar>
              <w:top w:w="90" w:type="dxa"/>
              <w:left w:w="120" w:type="dxa"/>
              <w:bottom w:w="90" w:type="dxa"/>
              <w:right w:w="120" w:type="dxa"/>
            </w:tcMar>
            <w:vAlign w:val="center"/>
          </w:tcPr>
          <w:p>
            <w:pPr>
              <w:spacing w:after="0" w:line="252" w:lineRule="auto"/>
              <w:rPr>
                <w:lang w:val="pl-PL"/>
              </w:rPr>
            </w:pPr>
            <w:r>
              <w:rPr>
                <w:rFonts w:eastAsia="Calibri"/>
                <w:color w:val="000000"/>
                <w:sz w:val="18"/>
                <w:lang w:val="pl-PL"/>
              </w:rPr>
              <w:t>techniczne przetwarzanie dopuszczonych Żądań POST /verify/webhook-integrity i minimalnego Payloadu w celu wykonania webhook_integrity.v1 oraz zwrócenia technicznego proofu/receiptu</w:t>
            </w:r>
          </w:p>
        </w:tc>
        <w:trPr>
          <w:cantSplit/>
        </w:trPr>
      </w:tr>
      <w:tr>
        <w:tc>
          <w:tcPr>
            <w:tcW w:w="3050" w:type="dxa"/>
            <w:shd w:val="clear" w:color="auto" w:fill="FAFBFC"/>
            <w:tcMar>
              <w:top w:w="90" w:type="dxa"/>
              <w:left w:w="120" w:type="dxa"/>
              <w:bottom w:w="90" w:type="dxa"/>
              <w:right w:w="120" w:type="dxa"/>
            </w:tcMar>
            <w:vAlign w:val="center"/>
          </w:tcPr>
          <w:p>
            <w:pPr>
              <w:spacing w:after="0" w:line="252" w:lineRule="auto"/>
            </w:pPr>
            <w:r>
              <w:rPr>
                <w:rFonts w:eastAsia="Calibri"/>
                <w:color w:val="000000"/>
                <w:sz w:val="18"/>
                <w:lang w:val="pl-PL"/>
              </w:rPr>
              <w:t>Czas</w:t>
            </w:r>
          </w:p>
        </w:tc>
        <w:tc>
          <w:tcPr>
            <w:tcW w:w="6362" w:type="dxa"/>
            <w:shd w:val="clear" w:color="auto" w:fill="FAFBFC"/>
            <w:tcMar>
              <w:top w:w="90" w:type="dxa"/>
              <w:left w:w="120" w:type="dxa"/>
              <w:bottom w:w="90" w:type="dxa"/>
              <w:right w:w="120" w:type="dxa"/>
            </w:tcMar>
            <w:vAlign w:val="center"/>
          </w:tcPr>
          <w:p>
            <w:pPr>
              <w:spacing w:after="0" w:line="252" w:lineRule="auto"/>
              <w:rPr>
                <w:lang w:val="pl-PL"/>
              </w:rPr>
            </w:pPr>
            <w:r>
              <w:rPr>
                <w:lang w:val="pl-PL"/>
              </w:rPr>
              <w:t xml:space="preserve">od dopuszczenia odczytu aplikacyjnego po ważnej DPA do wykonania celu danej kategorii i upływu właściwego okresu Załącznika D, chyba że wcześniej kończy się Umowa lub obowiązuje instrukcja zakończenia; następnie usunięcie albo zwrot według pkt 14</w:t>
            </w:r>
          </w:p>
        </w:tc>
        <w:trPr>
          <w:cantSplit/>
        </w:trPr>
      </w:tr>
      <w:tr>
        <w:tc>
          <w:tcPr>
            <w:tcW w:w="3050" w:type="dxa"/>
            <w:tcMar>
              <w:top w:w="90" w:type="dxa"/>
              <w:left w:w="120" w:type="dxa"/>
              <w:bottom w:w="90" w:type="dxa"/>
              <w:right w:w="120" w:type="dxa"/>
            </w:tcMar>
            <w:vAlign w:val="center"/>
          </w:tcPr>
          <w:p>
            <w:pPr>
              <w:spacing w:after="0" w:line="252" w:lineRule="auto"/>
            </w:pPr>
            <w:r>
              <w:rPr>
                <w:rFonts w:eastAsia="Calibri"/>
                <w:color w:val="000000"/>
                <w:sz w:val="18"/>
                <w:lang w:val="pl-PL"/>
              </w:rPr>
              <w:t>Charakter</w:t>
            </w:r>
          </w:p>
        </w:tc>
        <w:tc>
          <w:tcPr>
            <w:tcW w:w="6362" w:type="dxa"/>
            <w:tcMar>
              <w:top w:w="90" w:type="dxa"/>
              <w:left w:w="120" w:type="dxa"/>
              <w:bottom w:w="90" w:type="dxa"/>
              <w:right w:w="120" w:type="dxa"/>
            </w:tcMar>
            <w:vAlign w:val="center"/>
          </w:tcPr>
          <w:p>
            <w:pPr>
              <w:spacing w:after="0" w:line="252" w:lineRule="auto"/>
              <w:rPr>
                <w:lang w:val="pl-PL"/>
              </w:rPr>
            </w:pPr>
            <w:r>
              <w:rPr>
                <w:rFonts w:eastAsia="Calibri"/>
                <w:color w:val="000000"/>
                <w:sz w:val="18"/>
                <w:lang w:val="pl-PL"/>
              </w:rPr>
              <w:t>przejściowe przyjęcie, walidacja, porównanie i hashowanie, zapis niezbędnych identyfikatorów i metadanych, zwrócenie statusu oraz usunięcie surowego Payloadu</w:t>
            </w:r>
          </w:p>
        </w:tc>
        <w:trPr>
          <w:cantSplit/>
        </w:trPr>
      </w:tr>
      <w:tr>
        <w:tc>
          <w:tcPr>
            <w:tcW w:w="3050" w:type="dxa"/>
            <w:shd w:val="clear" w:color="auto" w:fill="FAFBFC"/>
            <w:tcMar>
              <w:top w:w="90" w:type="dxa"/>
              <w:left w:w="120" w:type="dxa"/>
              <w:bottom w:w="90" w:type="dxa"/>
              <w:right w:w="120" w:type="dxa"/>
            </w:tcMar>
            <w:vAlign w:val="center"/>
          </w:tcPr>
          <w:p>
            <w:pPr>
              <w:spacing w:after="0" w:line="252" w:lineRule="auto"/>
            </w:pPr>
            <w:r>
              <w:rPr>
                <w:rFonts w:eastAsia="Calibri"/>
                <w:color w:val="000000"/>
                <w:sz w:val="18"/>
                <w:lang w:val="pl-PL"/>
              </w:rPr>
              <w:t>Cel</w:t>
            </w:r>
          </w:p>
        </w:tc>
        <w:tc>
          <w:tcPr>
            <w:tcW w:w="6362" w:type="dxa"/>
            <w:shd w:val="clear" w:color="auto" w:fill="FAFBFC"/>
            <w:tcMar>
              <w:top w:w="90" w:type="dxa"/>
              <w:left w:w="120" w:type="dxa"/>
              <w:bottom w:w="90" w:type="dxa"/>
              <w:right w:w="120" w:type="dxa"/>
            </w:tcMar>
            <w:vAlign w:val="center"/>
          </w:tcPr>
          <w:p>
            <w:pPr>
              <w:spacing w:after="0" w:line="252" w:lineRule="auto"/>
              <w:rPr>
                <w:lang w:val="pl-PL"/>
              </w:rPr>
            </w:pPr>
            <w:r>
              <w:rPr>
                <w:rFonts w:eastAsia="Calibri"/>
                <w:color w:val="000000"/>
                <w:sz w:val="18"/>
                <w:lang w:val="pl-PL"/>
              </w:rPr>
              <w:t>wykonanie technicznego proofu/receiptu integralności webhooka zgodnie z instrukcją Administratora; bez potwierdzania prawdziwości zdarzenia lub skutku prawnego</w:t>
            </w:r>
          </w:p>
        </w:tc>
        <w:trPr>
          <w:cantSplit/>
        </w:trPr>
      </w:tr>
      <w:tr>
        <w:tc>
          <w:tcPr>
            <w:tcW w:w="3050" w:type="dxa"/>
            <w:tcMar>
              <w:top w:w="90" w:type="dxa"/>
              <w:left w:w="120" w:type="dxa"/>
              <w:bottom w:w="90" w:type="dxa"/>
              <w:right w:w="120" w:type="dxa"/>
            </w:tcMar>
            <w:vAlign w:val="center"/>
          </w:tcPr>
          <w:p>
            <w:pPr>
              <w:spacing w:after="0" w:line="252" w:lineRule="auto"/>
            </w:pPr>
            <w:r>
              <w:rPr>
                <w:rFonts w:eastAsia="Calibri"/>
                <w:color w:val="000000"/>
                <w:sz w:val="18"/>
                <w:lang w:val="pl-PL"/>
              </w:rPr>
              <w:t>Osoby</w:t>
            </w:r>
          </w:p>
        </w:tc>
        <w:tc>
          <w:tcPr>
            <w:tcW w:w="6362" w:type="dxa"/>
            <w:tcMar>
              <w:top w:w="90" w:type="dxa"/>
              <w:left w:w="120" w:type="dxa"/>
              <w:bottom w:w="90" w:type="dxa"/>
              <w:right w:w="120" w:type="dxa"/>
            </w:tcMar>
            <w:vAlign w:val="center"/>
          </w:tcPr>
          <w:p>
            <w:pPr>
              <w:spacing w:after="0" w:line="252" w:lineRule="auto"/>
              <w:rPr>
                <w:lang w:val="pl-PL"/>
              </w:rPr>
            </w:pPr>
            <w:r>
              <w:rPr>
                <w:rFonts w:eastAsia="Calibri"/>
                <w:color w:val="000000"/>
                <w:sz w:val="18"/>
                <w:lang w:val="pl-PL"/>
              </w:rPr>
              <w:t>osoby, których minimalne dane służbowe Administrator zgodnie z prawem umieszcza w zdarzeniu webhook objętym webhook_integrity.v1</w:t>
            </w:r>
          </w:p>
        </w:tc>
        <w:trPr>
          <w:cantSplit/>
        </w:trPr>
      </w:tr>
      <w:tr>
        <w:tc>
          <w:tcPr>
            <w:tcW w:w="3050" w:type="dxa"/>
            <w:shd w:val="clear" w:color="auto" w:fill="FAFBFC"/>
            <w:tcMar>
              <w:top w:w="90" w:type="dxa"/>
              <w:left w:w="120" w:type="dxa"/>
              <w:bottom w:w="90" w:type="dxa"/>
              <w:right w:w="120" w:type="dxa"/>
            </w:tcMar>
            <w:vAlign w:val="center"/>
          </w:tcPr>
          <w:p>
            <w:pPr>
              <w:spacing w:after="0" w:line="252" w:lineRule="auto"/>
            </w:pPr>
            <w:r>
              <w:rPr>
                <w:rFonts w:eastAsia="Calibri"/>
                <w:color w:val="000000"/>
                <w:sz w:val="18"/>
                <w:lang w:val="pl-PL"/>
              </w:rPr>
              <w:t>Dane</w:t>
            </w:r>
          </w:p>
        </w:tc>
        <w:tc>
          <w:tcPr>
            <w:tcW w:w="6362" w:type="dxa"/>
            <w:shd w:val="clear" w:color="auto" w:fill="FAFBFC"/>
            <w:tcMar>
              <w:top w:w="90" w:type="dxa"/>
              <w:left w:w="120" w:type="dxa"/>
              <w:bottom w:w="90" w:type="dxa"/>
              <w:right w:w="120" w:type="dxa"/>
            </w:tcMar>
            <w:vAlign w:val="center"/>
          </w:tcPr>
          <w:p>
            <w:pPr>
              <w:spacing w:after="0" w:line="252" w:lineRule="auto"/>
              <w:rPr>
                <w:lang w:val="pl-PL"/>
              </w:rPr>
            </w:pPr>
            <w:proofErr w:type="spellStart"/>
            <w:proofErr w:type="spellEnd"/>
            <w:r>
              <w:rPr>
                <w:rFonts w:eastAsia="Calibri"/>
                <w:color w:val="000000"/>
                <w:sz w:val="18"/>
                <w:lang w:val="pl-PL"/>
              </w:rPr>
              <w:t>minimalne dane służbowe, identyfikatory zdarzeń i systemów, timestampy, nonce, statusy, metadane techniczne, logi, hashe i niezbędne dane Payloadu</w:t>
            </w:r>
          </w:p>
        </w:tc>
        <w:trPr>
          <w:cantSplit/>
        </w:trPr>
      </w:tr>
    </w:tbl>
    <w:p>
      <w:pPr>
        <w:spacing w:after="20"/>
        <w:rPr>
          <w:lang w:val="pl-PL"/>
        </w:rPr>
      </w:pPr>
    </w:p>
    <w:p>
      <w:pPr>
        <w:pStyle w:val="Nagwek1"/>
        <w:pageBreakBefore/>
        <w:rPr>
          <w:lang w:val="pl-PL"/>
        </w:rPr>
      </w:pPr>
      <w:r>
        <w:rPr>
          <w:rFonts w:eastAsia="Calibri"/>
          <w:lang w:val="pl-PL"/>
        </w:rPr>
        <w:lastRenderedPageBreak/>
        <w:t>ZAŁĄCZNIK B – ŚRODKI TECHNICZNE I ORGANIZACYJNE W PRODUKCYJNEJ KONFIGURACJI</w:t>
      </w:r>
    </w:p>
    <w:p>
      <w:pPr>
        <w:keepLines/>
        <w:numPr>
          <w:ilvl w:val="0"/>
          <w:numId w:val="31"/>
        </w:numPr>
        <w:rPr>
          <w:lang w:val="pl-PL"/>
        </w:rPr>
      </w:pPr>
      <w:r>
        <w:t>Kontrola dostępu, odwoływalny Buyer Binding związany z Klientem, Delegacją, Agentem, Walletem i zakresem oraz zasada najmniejszych uprawnień.</w:t>
      </w:r>
    </w:p>
    <w:p>
      <w:pPr>
        <w:keepLines/>
        <w:numPr>
          <w:ilvl w:val="0"/>
          <w:numId w:val="31"/>
        </w:numPr>
        <w:rPr>
          <w:lang w:val="pl-PL"/>
        </w:rPr>
      </w:pPr>
      <w:r>
        <w:rPr>
          <w:rFonts w:eastAsia="Calibri"/>
          <w:color w:val="000000"/>
          <w:lang w:val="pl-PL"/>
        </w:rPr>
        <w:t>TLS dla transmisji i bezpieczne przechowywanie sekretów.</w:t>
      </w:r>
    </w:p>
    <w:p>
      <w:pPr>
        <w:keepLines/>
        <w:numPr>
          <w:ilvl w:val="0"/>
          <w:numId w:val="31"/>
        </w:numPr>
        <w:rPr>
          <w:lang w:val="pl-PL"/>
        </w:rPr>
      </w:pPr>
      <w:r>
        <w:rPr>
          <w:rFonts w:eastAsia="Calibri"/>
          <w:color w:val="000000"/>
          <w:lang w:val="pl-PL"/>
        </w:rPr>
        <w:t>Separacja środowisk oraz zawsze prywatny dashboard Operatora, tylko do odczytu. Nie jest publikowany, nie jest udostępniany Klientom i nie służy do wydawania zgód ani ręcznego zatwierdzania Operacji.</w:t>
      </w:r>
    </w:p>
    <w:p>
      <w:pPr>
        <w:keepLines/>
        <w:numPr>
          <w:ilvl w:val="0"/>
          <w:numId w:val="31"/>
        </w:numPr>
        <w:rPr>
          <w:lang w:val="pl-PL"/>
        </w:rPr>
      </w:pPr>
      <w:r>
        <w:rPr>
          <w:lang w:val="pl-PL"/>
        </w:rPr>
        <w:t xml:space="preserve">Aktualna kontrola wymaganej DPA i Delegacji z enter_dpa przed Buyer Bindingiem i aplikacyjnym odczytem treści; ponowna kontrola po odbiorze oraz odmowa przy braku, wygaśnięciu, odwołaniu lub niespójności. Granice kontroli określa pkt 4.</w:t>
      </w:r>
    </w:p>
    <w:p>
      <w:pPr>
        <w:keepLines/>
        <w:numPr>
          <w:ilvl w:val="0"/>
          <w:numId w:val="31"/>
        </w:numPr>
        <w:rPr>
          <w:lang w:val="pl-PL"/>
        </w:rPr>
      </w:pPr>
      <w:r>
        <w:rPr>
          <w:lang w:val="pl-PL"/>
        </w:rPr>
        <w:t xml:space="preserve">Minimalizacja danych, wyłącznie metoda webhook_integrity.v1, przejściowa obsługa surowej treści oraz redakcja sekretów. Surowy Payload jest buforowany przejściowo na czas obsługi Żądania. Po zakończeniu, odrzuceniu, timeoutcie albo błędzie aplikacja zwalnia swoje referencje i zeruje posiadane bufory bajtowe. Zarządzanie pamięcią odpowiada za zwolnienie obiektów i ciągów tekstowych; nie jest to zapewnienie fizycznego wyzerowania całej pamięci procesu lub systemu.</w:t>
      </w:r>
    </w:p>
    <w:p>
      <w:pPr>
        <w:keepLines/>
        <w:numPr>
          <w:ilvl w:val="0"/>
          <w:numId w:val="31"/>
        </w:numPr>
        <w:rPr>
          <w:lang w:val="pl-PL"/>
        </w:rPr>
      </w:pPr>
      <w:r>
        <w:rPr>
          <w:lang w:val="pl-PL"/>
        </w:rPr>
        <w:t xml:space="preserve">Zapis dopuszczenia Operacji i ślad audytowy obejmują wymagane identyfikatory, wersje, statusy oraz hashe bez pełnego Payloadu. Retencja techniczna jest oddzielona od księgowej zgodnie z Załącznikiem D.</w:t>
      </w:r>
    </w:p>
    <w:p>
      <w:pPr>
        <w:keepLines/>
        <w:numPr>
          <w:ilvl w:val="0"/>
          <w:numId w:val="31"/>
        </w:numPr>
        <w:rPr>
          <w:lang w:val="pl-PL"/>
        </w:rPr>
      </w:pPr>
      <w:r>
        <w:rPr>
          <w:rFonts w:eastAsia="Calibri"/>
          <w:color w:val="000000"/>
          <w:lang w:val="pl-PL"/>
        </w:rPr>
        <w:t>Jeżeli produkcyjne kopie zapasowe obejmują dane powierzone – kontrolowane kopie, testy odczytu, weryfikacja integralności, procedury odtwarzania oraz maksymalnie 30-dniowy cykl rotacyjny.</w:t>
      </w:r>
    </w:p>
    <w:p>
      <w:pPr>
        <w:keepLines/>
        <w:numPr>
          <w:ilvl w:val="0"/>
          <w:numId w:val="31"/>
        </w:numPr>
        <w:rPr>
          <w:lang w:val="pl-PL"/>
        </w:rPr>
      </w:pPr>
      <w:proofErr w:type="spellStart"/>
      <w:proofErr w:type="spellEnd"/>
      <w:proofErr w:type="spellStart"/>
      <w:proofErr w:type="spellEnd"/>
      <w:r>
        <w:rPr>
          <w:rFonts w:eastAsia="Calibri"/>
          <w:color w:val="000000"/>
          <w:lang w:val="pl-PL"/>
        </w:rPr>
        <w:t>Obsługa incydentów, reconciliation i brak automatycznego retry niejednoznacznej płatności lub Operacji.</w:t>
      </w:r>
    </w:p>
    <w:p>
      <w:pPr>
        <w:keepLines/>
        <w:numPr>
          <w:ilvl w:val="0"/>
          <w:numId w:val="31"/>
        </w:numPr>
        <w:rPr>
          <w:lang w:val="pl-PL"/>
        </w:rPr>
      </w:pPr>
      <w:r>
        <w:rPr>
          <w:rFonts w:eastAsia="Calibri"/>
          <w:color w:val="000000"/>
          <w:lang w:val="pl-PL"/>
        </w:rPr>
        <w:t>Zarządzanie zmianą, testy techniczne i ograniczenie dostępu do danych.</w:t>
      </w:r>
    </w:p>
    <w:p>
      <w:pPr>
        <w:pStyle w:val="Nagwek1"/>
        <w:pageBreakBefore/>
        <w:rPr>
          <w:lang w:val="pl-PL"/>
        </w:rPr>
      </w:pPr>
      <w:r>
        <w:rPr>
          <w:lang w:val="pl-PL"/>
        </w:rPr>
        <w:t xml:space="preserve">ZAŁĄCZNIK C PODPROCESORZY I TRANSFERY</w:t>
      </w:r>
    </w:p>
    <w:tbl>
      <w:tblPr>
        <w:tblW w:w="9412" w:type="dxa"/>
        <w:tblInd w:w="120" w:type="dxa"/>
        <w:tblBorders>
          <w:top w:val="single" w:sz="5" w:space="0" w:color="C9D2DD"/>
          <w:left w:val="single" w:sz="5" w:space="0" w:color="C9D2DD"/>
          <w:bottom w:val="single" w:sz="5" w:space="0" w:color="C9D2DD"/>
          <w:right w:val="single" w:sz="5" w:space="0" w:color="C9D2DD"/>
          <w:insideH w:val="single" w:sz="5" w:space="0" w:color="C9D2DD"/>
          <w:insideV w:val="single" w:sz="5" w:space="0" w:color="C9D2DD"/>
        </w:tblBorders>
        <w:tblLayout w:type="fixed"/>
        <w:tblLook w:val="04A0"/>
      </w:tblPr>
      <w:tblGrid>
        <w:gridCol w:w="2200"/>
        <w:gridCol w:w="3900"/>
        <w:gridCol w:w="3312"/>
      </w:tblGrid>
      <w:tr>
        <w:trPr>
          <w:tblHeader/>
          <w:cantSplit/>
        </w:trPr>
        <w:tc>
          <w:tcPr>
            <w:tcW w:w="2200" w:type="dxa"/>
            <w:shd w:val="clear" w:color="auto" w:fill="E8EEF5"/>
            <w:tcMar>
              <w:top w:w="90" w:type="dxa"/>
              <w:left w:w="120" w:type="dxa"/>
              <w:bottom w:w="90" w:type="dxa"/>
              <w:right w:w="120" w:type="dxa"/>
            </w:tcMar>
            <w:vAlign w:val="center"/>
          </w:tcPr>
          <w:p>
            <w:pPr>
              <w:spacing w:after="0" w:line="252" w:lineRule="auto"/>
            </w:pPr>
            <w:r>
              <w:rPr>
                <w:rFonts w:eastAsia="Calibri"/>
                <w:b/>
                <w:color w:val="000000"/>
                <w:sz w:val="18"/>
                <w:lang w:val="pl-PL"/>
              </w:rPr>
              <w:t>Podmiot</w:t>
            </w:r>
          </w:p>
        </w:tc>
        <w:tc>
          <w:tcPr>
            <w:tcW w:w="3900" w:type="dxa"/>
            <w:shd w:val="clear" w:color="auto" w:fill="E8EEF5"/>
            <w:tcMar>
              <w:top w:w="90" w:type="dxa"/>
              <w:left w:w="120" w:type="dxa"/>
              <w:bottom w:w="90" w:type="dxa"/>
              <w:right w:w="120" w:type="dxa"/>
            </w:tcMar>
            <w:vAlign w:val="center"/>
          </w:tcPr>
          <w:p>
            <w:pPr>
              <w:spacing w:after="0" w:line="252" w:lineRule="auto"/>
            </w:pPr>
            <w:r>
              <w:rPr>
                <w:rFonts w:eastAsia="Calibri"/>
                <w:b/>
                <w:color w:val="000000"/>
                <w:sz w:val="18"/>
                <w:lang w:val="pl-PL"/>
              </w:rPr>
              <w:t>Usługa i zakres danych</w:t>
            </w:r>
          </w:p>
        </w:tc>
        <w:tc>
          <w:tcPr>
            <w:tcW w:w="3312" w:type="dxa"/>
            <w:shd w:val="clear" w:color="auto" w:fill="E8EEF5"/>
            <w:tcMar>
              <w:top w:w="90" w:type="dxa"/>
              <w:left w:w="120" w:type="dxa"/>
              <w:bottom w:w="90" w:type="dxa"/>
              <w:right w:w="120" w:type="dxa"/>
            </w:tcMar>
            <w:vAlign w:val="center"/>
          </w:tcPr>
          <w:p>
            <w:pPr>
              <w:spacing w:after="0" w:line="252" w:lineRule="auto"/>
            </w:pPr>
            <w:r>
              <w:rPr>
                <w:rFonts w:eastAsia="Calibri"/>
                <w:b/>
                <w:color w:val="000000"/>
                <w:sz w:val="18"/>
                <w:lang w:val="pl-PL"/>
              </w:rPr>
              <w:t>Lokalizacja i transfer</w:t>
            </w:r>
          </w:p>
        </w:tc>
      </w:tr>
      <w:tr>
        <w:tc>
          <w:tcPr>
            <w:tcW w:w="2200" w:type="dxa"/>
            <w:tcMar>
              <w:top w:w="90" w:type="dxa"/>
              <w:left w:w="120" w:type="dxa"/>
              <w:bottom w:w="90" w:type="dxa"/>
              <w:right w:w="120" w:type="dxa"/>
            </w:tcMar>
            <w:vAlign w:val="center"/>
          </w:tcPr>
          <w:p>
            <w:r>
              <w:t xml:space="preserve">Cloudflare, Inc., USA</w:t>
            </w:r>
          </w:p>
        </w:tc>
        <w:tc>
          <w:tcPr>
            <w:tcW w:w="3900" w:type="dxa"/>
            <w:tcMar>
              <w:top w:w="90" w:type="dxa"/>
              <w:left w:w="120" w:type="dxa"/>
              <w:bottom w:w="90" w:type="dxa"/>
              <w:right w:w="120" w:type="dxa"/>
            </w:tcMar>
            <w:vAlign w:val="center"/>
          </w:tcPr>
          <w:p>
            <w:r>
              <w:t xml:space="preserve">DNS i Tunnel; jako podprocesor obsługuje transmisję Payloadu i powiązanych danych powierzonych. Pośrednik kończy TLS. Baza i kopie Operatora pozostają lokalne w Polsce.</w:t>
            </w:r>
          </w:p>
        </w:tc>
        <w:tc>
          <w:tcPr>
            <w:tcW w:w="3312" w:type="dxa"/>
            <w:tcMar>
              <w:top w:w="90" w:type="dxa"/>
              <w:left w:w="120" w:type="dxa"/>
              <w:bottom w:w="90" w:type="dxa"/>
              <w:right w:w="120" w:type="dxa"/>
            </w:tcMar>
            <w:vAlign w:val="center"/>
          </w:tcPr>
          <w:p>
            <w:r>
              <w:t xml:space="preserve">USA i globalna infrastruktura zgodnie z listą podprocesorów Cloudflare. EU–US DPF dla objętych nim transferów; poza tą podstawą SCC moduł 3 według pkt 6 DPA Cloudflare. Brak gwarancji wyłącznie EOG.</w:t>
            </w:r>
          </w:p>
        </w:tc>
        <w:trPr>
          <w:cantSplit/>
        </w:trPr>
      </w:tr>
      <w:tr>
        <w:tc>
          <w:tcPr>
            <w:tcW w:w="2200" w:type="dxa"/>
            <w:shd w:val="clear" w:color="auto" w:fill="FAFBFC"/>
            <w:tcMar>
              <w:top w:w="90" w:type="dxa"/>
              <w:left w:w="120" w:type="dxa"/>
              <w:bottom w:w="90" w:type="dxa"/>
              <w:right w:w="120" w:type="dxa"/>
            </w:tcMar>
            <w:vAlign w:val="center"/>
          </w:tcPr>
          <w:p>
            <w:pPr>
              <w:spacing w:after="0" w:line="252" w:lineRule="auto"/>
            </w:pPr>
            <w:r>
              <w:rPr>
                <w:rFonts w:eastAsia="Calibri"/>
                <w:color w:val="000000"/>
                <w:sz w:val="18"/>
                <w:lang w:val="pl-PL"/>
              </w:rPr>
              <w:t xml:space="preserve">Zmiana podprocesora</w:t>
            </w:r>
          </w:p>
        </w:tc>
        <w:tc>
          <w:tcPr>
            <w:tcW w:w="3900" w:type="dxa"/>
            <w:shd w:val="clear" w:color="auto" w:fill="FAFBFC"/>
            <w:tcMar>
              <w:top w:w="90" w:type="dxa"/>
              <w:left w:w="120" w:type="dxa"/>
              <w:bottom w:w="90" w:type="dxa"/>
              <w:right w:w="120" w:type="dxa"/>
            </w:tcMar>
            <w:vAlign w:val="center"/>
          </w:tcPr>
          <w:p>
            <w:pPr>
              <w:spacing w:after="0" w:line="252" w:lineRule="auto"/>
              <w:rPr>
                <w:lang w:val="pl-PL"/>
              </w:rPr>
            </w:pPr>
            <w:r>
              <w:rPr>
                <w:lang w:val="pl-PL"/>
              </w:rPr>
              <w:t xml:space="preserve">uprzednia informacja i prawo sprzeciwu Administratora zgodnie z pkt 11</w:t>
            </w:r>
          </w:p>
        </w:tc>
        <w:tc>
          <w:tcPr>
            <w:tcW w:w="3312" w:type="dxa"/>
            <w:shd w:val="clear" w:color="auto" w:fill="FAFBFC"/>
            <w:tcMar>
              <w:top w:w="90" w:type="dxa"/>
              <w:left w:w="120" w:type="dxa"/>
              <w:bottom w:w="90" w:type="dxa"/>
              <w:right w:w="120" w:type="dxa"/>
            </w:tcMar>
            <w:vAlign w:val="center"/>
          </w:tcPr>
          <w:p>
            <w:pPr>
              <w:spacing w:after="0" w:line="252" w:lineRule="auto"/>
              <w:rPr>
                <w:lang w:val="pl-PL"/>
              </w:rPr>
            </w:pPr>
            <w:r>
              <w:rPr>
                <w:lang w:val="pl-PL"/>
              </w:rPr>
              <w:t xml:space="preserve">nazwa, zakres, lokalizacja i właściwy mechanizm przed nowym przepływem; dostęp do kopii zabezpieczeń według pkt 12</w:t>
            </w:r>
          </w:p>
        </w:tc>
        <w:trPr>
          <w:cantSplit/>
        </w:trPr>
      </w:tr>
    </w:tbl>
    <w:p>
      <w:pPr>
        <w:spacing w:after="20"/>
        <w:rPr>
          <w:lang w:val="pl-PL"/>
        </w:rPr>
      </w:pPr>
      <w:r>
        <w:rPr>
          <w:lang w:val="pl-PL"/>
        </w:rPr>
        <w:t xml:space="preserve">Cloudflare, Inc. jest podprocesorem danych powierzonych w pośredniku HTTP kończącym TLS. Standardowe DPA wiąże ten zakres; nie uzgodniono wyłącznej lokalizacji w EOG. Szczegóły ochrony i dalszych podmiotów: </w:t>
      </w:r>
      <w:hyperlink r:id="rIdLegal151CF">
        <w:r>
          <w:rPr>
            <w:lang w:val="pl-PL"/>
            <w:color w:val="174B74"/>
            <w:u w:val="single"/>
          </w:rPr>
          <w:t xml:space="preserve">DPA Cloudflare, pkt 6</w:t>
        </w:r>
      </w:hyperlink>
      <w:r>
        <w:rPr>
          <w:lang w:val="pl-PL"/>
        </w:rPr>
        <w:t xml:space="preserve"> oraz </w:t>
      </w:r>
      <w:hyperlink r:id="rIdLegal151CF_LIST">
        <w:r>
          <w:rPr>
            <w:lang w:val="pl-PL"/>
            <w:color w:val="174B74"/>
            <w:u w:val="single"/>
          </w:rPr>
          <w:t xml:space="preserve">lista podprocesorów Cloudflare</w:t>
        </w:r>
      </w:hyperlink>
      <w:r>
        <w:rPr>
          <w:lang w:val="pl-PL"/>
        </w:rPr>
        <w:t xml:space="preserve">. Pkt 12 określa właściwy mechanizm, a pkt 11 procedurę zmiany.</w:t>
      </w:r>
    </w:p>
    <w:p>
      <w:pPr>
        <w:keepLines/>
        <w:numPr>
          <w:ilvl w:val="0"/>
          <w:numId w:val="32"/>
        </w:numPr>
        <w:rPr>
          <w:lang w:val="pl-PL"/>
        </w:rPr>
      </w:pPr>
      <w:r>
        <w:rPr>
          <w:lang w:val="pl-PL"/>
        </w:rPr>
        <w:t xml:space="preserve">CDP przetwarza dane płatności jako procesor Operatora według pkt 10 warunków CDP, bez surowego Payloadu. Publiczna sieć Base i kontrakt Safe służą rozliczeniu. Proton AG, Szwajcaria, obsługuje korespondencję i ograniczone alerty Operatora, bez Payloadu. W tych przepływach nie są podprocesorami danych powierzonych w celu kontroli komunikatu. Role i transfery opisują pkt 7–8 Polityki Prywatności. Rozszerzenie na dane powierzone wymaga wcześniejszej podstawy oraz procedury z pkt 11.</w:t>
      </w:r>
    </w:p>
    <w:p>
      <w:pPr>
        <w:keepLines/>
        <w:numPr>
          <w:ilvl w:val="0"/>
          <w:numId w:val="32"/>
        </w:numPr>
        <w:rPr>
          <w:lang w:val="pl-PL"/>
        </w:rPr>
      </w:pPr>
      <w:r>
        <w:rPr>
          <w:rFonts w:eastAsia="Calibri"/>
          <w:color w:val="000000"/>
          <w:lang w:val="pl-PL"/>
        </w:rPr>
        <w:t>TaxCoach sp. z o.o., Polska, KRS 0000653979, świadczy księgowość zgodnie z umową A_2189 z 4 sierpnia 2026 r. i jej powierzeniem. Przekaz obejmuje dane księgowe i fakturowe Operatora, bez Payloadu Klienta. Google LLC, USA, figuruje jako dostawca Google Workspace w załączniku C umowy TaxCoach; dedykowany folder Drive jest częścią uzgodnionego obiegu dokumentów. Te usługi nie są przez sam ten przepływ podprocesorami Payloadu. Rozszerzenie zakresu na dane powierzone wymaga wcześniejszej podstawy i aktualizacji zgodnie z pkt 11.</w:t>
      </w:r>
    </w:p>
    <w:p>
      <w:pPr>
        <w:pStyle w:val="Nagwek1"/>
        <w:pageBreakBefore/>
      </w:pPr>
      <w:r>
        <w:rPr>
          <w:rFonts w:eastAsia="Calibri"/>
          <w:lang w:val="pl-PL"/>
        </w:rPr>
        <w:lastRenderedPageBreak/>
        <w:t>ZAŁĄCZNIK D – RETENCJA DANYCH POWIERZONYCH</w:t>
      </w:r>
    </w:p>
    <w:tbl>
      <w:tblPr>
        <w:tblW w:w="9412" w:type="dxa"/>
        <w:tblInd w:w="120" w:type="dxa"/>
        <w:tblBorders>
          <w:top w:val="single" w:sz="5" w:space="0" w:color="C9D2DD"/>
          <w:left w:val="single" w:sz="5" w:space="0" w:color="C9D2DD"/>
          <w:bottom w:val="single" w:sz="5" w:space="0" w:color="C9D2DD"/>
          <w:right w:val="single" w:sz="5" w:space="0" w:color="C9D2DD"/>
          <w:insideH w:val="single" w:sz="5" w:space="0" w:color="C9D2DD"/>
          <w:insideV w:val="single" w:sz="5" w:space="0" w:color="C9D2DD"/>
        </w:tblBorders>
        <w:tblLayout w:type="fixed"/>
        <w:tblLook w:val="04A0"/>
      </w:tblPr>
      <w:tblGrid>
        <w:gridCol w:w="3050"/>
        <w:gridCol w:w="6362"/>
      </w:tblGrid>
      <w:tr>
        <w:trPr>
          <w:tblHeader/>
          <w:cantSplit/>
        </w:trPr>
        <w:tc>
          <w:tcPr>
            <w:tcW w:w="3050" w:type="dxa"/>
            <w:shd w:val="clear" w:color="auto" w:fill="E8EEF5"/>
            <w:tcMar>
              <w:top w:w="90" w:type="dxa"/>
              <w:left w:w="120" w:type="dxa"/>
              <w:bottom w:w="90" w:type="dxa"/>
              <w:right w:w="120" w:type="dxa"/>
            </w:tcMar>
            <w:vAlign w:val="center"/>
          </w:tcPr>
          <w:p>
            <w:pPr>
              <w:spacing w:after="0" w:line="252" w:lineRule="auto"/>
            </w:pPr>
            <w:r>
              <w:rPr>
                <w:rFonts w:eastAsia="Calibri"/>
                <w:b/>
                <w:color w:val="000000"/>
                <w:sz w:val="18"/>
                <w:lang w:val="pl-PL"/>
              </w:rPr>
              <w:t>Kategoria</w:t>
            </w:r>
          </w:p>
        </w:tc>
        <w:tc>
          <w:tcPr>
            <w:tcW w:w="6362" w:type="dxa"/>
            <w:shd w:val="clear" w:color="auto" w:fill="E8EEF5"/>
            <w:tcMar>
              <w:top w:w="90" w:type="dxa"/>
              <w:left w:w="120" w:type="dxa"/>
              <w:bottom w:w="90" w:type="dxa"/>
              <w:right w:w="120" w:type="dxa"/>
            </w:tcMar>
            <w:vAlign w:val="center"/>
          </w:tcPr>
          <w:p>
            <w:pPr>
              <w:spacing w:after="0" w:line="252" w:lineRule="auto"/>
              <w:rPr>
                <w:lang w:val="pl-PL"/>
              </w:rPr>
            </w:pPr>
            <w:r>
              <w:rPr>
                <w:rFonts w:eastAsia="Calibri"/>
                <w:b/>
                <w:color w:val="000000"/>
                <w:sz w:val="18"/>
                <w:lang w:val="pl-PL"/>
              </w:rPr>
              <w:t>Okres lub kryterium ustalania okresu</w:t>
            </w:r>
          </w:p>
        </w:tc>
      </w:tr>
      <w:tr>
        <w:tc>
          <w:tcPr>
            <w:tcW w:w="3050" w:type="dxa"/>
            <w:tcMar>
              <w:top w:w="90" w:type="dxa"/>
              <w:left w:w="120" w:type="dxa"/>
              <w:bottom w:w="90" w:type="dxa"/>
              <w:right w:w="120" w:type="dxa"/>
            </w:tcMar>
            <w:vAlign w:val="center"/>
          </w:tcPr>
          <w:p>
            <w:pPr>
              <w:spacing w:after="0" w:line="252" w:lineRule="auto"/>
              <w:rPr>
                <w:lang w:val="pl-PL"/>
              </w:rPr>
            </w:pPr>
            <w:r>
              <w:rPr>
                <w:rFonts w:eastAsia="Calibri"/>
                <w:color w:val="000000"/>
                <w:sz w:val="18"/>
                <w:lang w:val="pl-PL"/>
              </w:rPr>
              <w:t>Surowy Payload webhook_integrity.v1 w produkcyjnej konfiguracji objętej DPA</w:t>
            </w:r>
          </w:p>
        </w:tc>
        <w:tc>
          <w:tcPr>
            <w:tcW w:w="6362" w:type="dxa"/>
            <w:tcMar>
              <w:top w:w="90" w:type="dxa"/>
              <w:left w:w="120" w:type="dxa"/>
              <w:bottom w:w="90" w:type="dxa"/>
              <w:right w:w="120" w:type="dxa"/>
            </w:tcMar>
            <w:vAlign w:val="center"/>
          </w:tcPr>
          <w:p>
            <w:pPr>
              <w:spacing w:after="0" w:line="252" w:lineRule="auto"/>
              <w:rPr>
                <w:lang w:val="pl-PL"/>
              </w:rPr>
            </w:pPr>
            <w:r>
              <w:rPr>
                <w:lang w:val="pl-PL"/>
              </w:rPr>
              <w:t xml:space="preserve">przejściowo w pamięci aplikacji do zakończenia, odrzucenia, timeoutu albo błędu obsługi Żądania; zwolnienie zgodnie z Załącznikiem B. Bez zapisu w trwałej konfiguracji dopuszczenia, bazie, logach i kopiach aplikacji. Granicę infrastruktury określa pkt 4 i Załącznik C</w:t>
            </w:r>
          </w:p>
        </w:tc>
        <w:trPr>
          <w:cantSplit/>
        </w:trPr>
      </w:tr>
      <w:tr>
        <w:tc>
          <w:tcPr>
            <w:tcW w:w="3050" w:type="dxa"/>
            <w:shd w:val="clear" w:color="auto" w:fill="FAFBFC"/>
            <w:tcMar>
              <w:top w:w="90" w:type="dxa"/>
              <w:left w:w="120" w:type="dxa"/>
              <w:bottom w:w="90" w:type="dxa"/>
              <w:right w:w="120" w:type="dxa"/>
            </w:tcMar>
            <w:vAlign w:val="center"/>
          </w:tcPr>
          <w:p>
            <w:pPr>
              <w:spacing w:after="0" w:line="252" w:lineRule="auto"/>
              <w:rPr>
                <w:lang w:val="pl-PL"/>
              </w:rPr>
            </w:pPr>
            <w:r>
              <w:rPr>
                <w:rFonts w:eastAsia="Calibri"/>
                <w:color w:val="000000"/>
                <w:sz w:val="18"/>
                <w:lang w:val="pl-PL"/>
              </w:rPr>
              <w:t>Metadane techniczne i ślad audytowy webhook_integrity.v1</w:t>
            </w:r>
          </w:p>
        </w:tc>
        <w:tc>
          <w:tcPr>
            <w:tcW w:w="6362" w:type="dxa"/>
            <w:shd w:val="clear" w:color="auto" w:fill="FAFBFC"/>
            <w:tcMar>
              <w:top w:w="90" w:type="dxa"/>
              <w:left w:w="120" w:type="dxa"/>
              <w:bottom w:w="90" w:type="dxa"/>
              <w:right w:w="120" w:type="dxa"/>
            </w:tcMar>
            <w:vAlign w:val="center"/>
          </w:tcPr>
          <w:p>
            <w:pPr>
              <w:spacing w:after="0" w:line="252" w:lineRule="auto"/>
              <w:rPr>
                <w:lang w:val="pl-PL"/>
              </w:rPr>
            </w:pPr>
            <w:r>
              <w:rPr>
                <w:lang w:val="pl-PL"/>
              </w:rPr>
              <w:t xml:space="preserve">36 miesięcy od zakończenia Operacji, nie dłużej niż trwa cel powierzenia; wcześniejsze zakończenie według pkt 2 i 14. Dane dla własnych celów Operatora, w tym konieczne dowody rozliczenia, są oddzielone i podlegają Polityce Prywatności</w:t>
            </w:r>
          </w:p>
        </w:tc>
        <w:trPr>
          <w:cantSplit/>
        </w:trPr>
      </w:tr>
      <w:tr>
        <w:tc>
          <w:tcPr>
            <w:tcW w:w="3050" w:type="dxa"/>
            <w:tcMar>
              <w:top w:w="90" w:type="dxa"/>
              <w:left w:w="120" w:type="dxa"/>
              <w:bottom w:w="90" w:type="dxa"/>
              <w:right w:w="120" w:type="dxa"/>
            </w:tcMar>
            <w:vAlign w:val="center"/>
          </w:tcPr>
          <w:p>
            <w:pPr>
              <w:spacing w:after="0" w:line="252" w:lineRule="auto"/>
            </w:pPr>
            <w:r>
              <w:rPr>
                <w:rFonts w:eastAsia="Calibri"/>
                <w:color w:val="000000"/>
                <w:sz w:val="18"/>
                <w:lang w:val="pl-PL"/>
              </w:rPr>
              <w:t>Logi bezpieczeństwa i błędów</w:t>
            </w:r>
          </w:p>
        </w:tc>
        <w:tc>
          <w:tcPr>
            <w:tcW w:w="6362" w:type="dxa"/>
            <w:tcMar>
              <w:top w:w="90" w:type="dxa"/>
              <w:left w:w="120" w:type="dxa"/>
              <w:bottom w:w="90" w:type="dxa"/>
              <w:right w:w="120" w:type="dxa"/>
            </w:tcMar>
            <w:vAlign w:val="center"/>
          </w:tcPr>
          <w:p>
            <w:pPr>
              <w:spacing w:after="0" w:line="252" w:lineRule="auto"/>
              <w:rPr>
                <w:lang w:val="pl-PL"/>
              </w:rPr>
            </w:pPr>
            <w:r>
              <w:rPr>
                <w:lang w:val="pl-PL"/>
              </w:rPr>
              <w:t xml:space="preserve">zwykłe logi i logi błędów — 90 dni; związane z udokumentowanym incydentem — do jego zamknięcia i 36 miesięcy później, tylko w niezbędnym zakresie. Zakończenie powierzenia: pkt 14; własne dane bezpieczeństwa Operatora: Polityka Prywatności</w:t>
            </w:r>
          </w:p>
        </w:tc>
        <w:trPr>
          <w:cantSplit/>
        </w:trPr>
      </w:tr>
      <w:tr>
        <w:tc>
          <w:tcPr>
            <w:tcW w:w="3050" w:type="dxa"/>
            <w:shd w:val="clear" w:color="auto" w:fill="FAFBFC"/>
            <w:tcMar>
              <w:top w:w="90" w:type="dxa"/>
              <w:left w:w="120" w:type="dxa"/>
              <w:bottom w:w="90" w:type="dxa"/>
              <w:right w:w="120" w:type="dxa"/>
            </w:tcMar>
            <w:vAlign w:val="center"/>
          </w:tcPr>
          <w:p>
            <w:pPr>
              <w:spacing w:after="0" w:line="252" w:lineRule="auto"/>
              <w:rPr>
                <w:lang w:val="pl-PL"/>
              </w:rPr>
            </w:pPr>
            <w:r>
              <w:rPr>
                <w:lang w:val="pl-PL"/>
              </w:rPr>
              <w:t xml:space="preserve">Dane po zakończeniu przetwarzania danej kategorii</w:t>
            </w:r>
          </w:p>
        </w:tc>
        <w:tc>
          <w:tcPr>
            <w:tcW w:w="6362" w:type="dxa"/>
            <w:shd w:val="clear" w:color="auto" w:fill="FAFBFC"/>
            <w:tcMar>
              <w:top w:w="90" w:type="dxa"/>
              <w:left w:w="120" w:type="dxa"/>
              <w:bottom w:w="90" w:type="dxa"/>
              <w:right w:w="120" w:type="dxa"/>
            </w:tcMar>
            <w:vAlign w:val="center"/>
          </w:tcPr>
          <w:p>
            <w:pPr>
              <w:spacing w:after="0" w:line="252" w:lineRule="auto"/>
              <w:rPr>
                <w:lang w:val="pl-PL"/>
              </w:rPr>
            </w:pPr>
            <w:r>
              <w:rPr>
                <w:lang w:val="pl-PL"/>
              </w:rPr>
              <w:t xml:space="preserve">usunięcie (domyślna instrukcja Administratora) albo wybrany zwrot i usunięcie pozostałych kopii; bez zbędnej zwłoki, maksymalnie 30 dni od zakończenia przetwarzania, bez oczekiwania na późniejsze polecenie. Krótsze terminy i obowiązki ustawowe mają pierwszeństwo</w:t>
            </w:r>
          </w:p>
        </w:tc>
        <w:trPr>
          <w:cantSplit/>
        </w:trPr>
      </w:tr>
      <w:tr>
        <w:tc>
          <w:tcPr>
            <w:tcW w:w="3050" w:type="dxa"/>
            <w:tcMar>
              <w:top w:w="90" w:type="dxa"/>
              <w:left w:w="120" w:type="dxa"/>
              <w:bottom w:w="90" w:type="dxa"/>
              <w:right w:w="120" w:type="dxa"/>
            </w:tcMar>
            <w:vAlign w:val="center"/>
          </w:tcPr>
          <w:p>
            <w:pPr>
              <w:spacing w:after="0" w:line="252" w:lineRule="auto"/>
            </w:pPr>
            <w:r>
              <w:rPr>
                <w:rFonts w:eastAsia="Calibri"/>
                <w:color w:val="000000"/>
                <w:sz w:val="18"/>
                <w:lang w:val="pl-PL"/>
              </w:rPr>
              <w:t>Kopie zapasowe</w:t>
            </w:r>
          </w:p>
        </w:tc>
        <w:tc>
          <w:tcPr>
            <w:tcW w:w="6362" w:type="dxa"/>
            <w:tcMar>
              <w:top w:w="90" w:type="dxa"/>
              <w:left w:w="120" w:type="dxa"/>
              <w:bottom w:w="90" w:type="dxa"/>
              <w:right w:w="120" w:type="dxa"/>
            </w:tcMar>
            <w:vAlign w:val="center"/>
          </w:tcPr>
          <w:p>
            <w:pPr>
              <w:spacing w:after="0" w:line="252" w:lineRule="auto"/>
              <w:rPr>
                <w:lang w:val="pl-PL"/>
              </w:rPr>
            </w:pPr>
            <w:r>
              <w:rPr>
                <w:rFonts w:eastAsia="Calibri"/>
                <w:color w:val="000000"/>
                <w:sz w:val="18"/>
                <w:lang w:val="pl-PL"/>
              </w:rPr>
              <w:t>maksymalnie 30 dni w cyklu rotacyjnym; do czasu wygaśnięcia pozostają odizolowane od zwykłego przetwarzania</w:t>
            </w:r>
          </w:p>
        </w:tc>
        <w:trPr>
          <w:cantSplit/>
        </w:trPr>
      </w:tr>
    </w:tbl>
    <w:p>
      <w:pPr>
        <w:spacing w:after="20"/>
        <w:rPr>
          <w:lang w:val="pl-PL"/>
        </w:rPr>
      </w:pPr>
    </w:p>
    <w:p>
      <w:pPr/>
      <w:r>
        <w:t>Wprowadzenie trwałego przechowywania surowego Payloadu albo rozszerzenie zakresu przetwarzania wymaga uprzedniej aktualizacji DPA i Załącznika D, poinformowania Administratora oraz – jeżeli jest to wymagane – ponownej elektronicznej akceptacji przed aktywacją zmiany.</w:t>
      </w:r>
    </w:p>
    <w:p>
      <w:pPr>
        <w:keepLines/>
        <w:numPr>
          <w:ilvl w:val="0"/>
          <w:numId w:val="33"/>
        </w:numPr>
        <w:rPr>
          <w:lang w:val="pl-PL"/>
        </w:rPr>
      </w:pPr>
      <w:r>
        <w:rPr>
          <w:lang w:val="pl-PL"/>
        </w:rPr>
        <w:t xml:space="preserve">Powierzenie kończy się dla poszczególnych kategorii zgodnie z pkt 2, pkt 14 i powyższą tabelą. Metadane zachowane zgodnie z prawem przez Operatora dla własnego określonego celu podlegają Polityce Prywatności. Sam obowiązek rozliczenia albo potencjalne roszczenie nie uzasadniają zachowania całej treści powierzonej. Nie utrwala się Payloadu na zapas.</w:t>
      </w:r>
    </w:p>
    <w:p>
      <w:pPr>
        <w:pStyle w:val="Nagwek1"/>
        <w:keepNext/>
        <w:keepLines/>
        <w:widowControl/>
        <w:pageBreakBefore/>
      </w:pPr>
      <w:r>
        <w:rPr>
          <w:color w:val="000000"/>
          <w:b/>
        </w:rPr>
        <w:t>ZAŁĄCZNIK E WARUNKI PRZETWARZANIA DANYCH PRODUKCYJNYCH</w:t>
      </w:r>
    </w:p>
    <w:p>
      <w:pPr>
        <w:spacing w:after="120"/>
        <w:widowControl/>
      </w:pPr>
      <w:r>
        <w:rPr>
          <w:color w:val="000000"/>
        </w:rPr>
        <w:t xml:space="preserve">Standardowe warunki dostawców oraz umowę TaxCoach opisano w Polityce Prywatności i Załączniku C. Trwały zapis dopuszczenia Operacji obejmuje hashe i wymagane identyfikatory zamiast pełnego Payloadu. Aplikacja kontroluje bieżącą DPA i Delegację przed odczytem treści, w granicach pkt 4. Retencja techniczna jest oddzielona od księgowej zgodnie z Załącznikiem D.</w:t>
      </w:r>
    </w:p>
    <w:p>
      <w:pPr>
        <w:spacing w:after="120"/>
        <w:widowControl/>
      </w:pPr>
      <w:r>
        <w:rPr>
          <w:color w:val="000000"/>
        </w:rPr>
        <w:t xml:space="preserve">Retencja zachowuje rozliczenia wymagane prawem oddzielnie od wygasających danych technicznych. Usunięcie kopii wyniku wymaga pozostawienia niezależnego, zweryfikowanego dowodu rozliczenia powiązanego z Operacją. Po odtworzeniu starej kopii stosuje się niezależny rejestr usunięć przed wznowieniem przetwarzania. Minimalne znaczniki nie zawierają usuniętej treści i nie zapewniają jej dalszej pełnej weryfikacji. Hash nie jest automatycznie anonimowy. Historyczne artefakty podlegają właściwej retencji.</w:t>
      </w:r>
    </w:p>
    <w:p>
      <w:pPr>
        <w:spacing w:after="120"/>
        <w:widowControl/>
      </w:pPr>
      <w:r>
        <w:rPr>
          <w:color w:val="000000"/>
        </w:rPr>
        <w:t xml:space="preserve">Monitor zapisuje sprawy i terminy incydentów, a Proton jest kanałem ograniczonych alertów Operatora. Odbiór tego kanału i wewnętrzne potwierdzenie nie są zawiadomieniem Administratora. Zawiadomienie wymaga właściwego adresata i dowodu doręczenia. Operator odpowiada za terminy pkt 9: bez zbędnej zwłoki, nie później niż w ciągu 48 godzin albo 24 godzin, gdy obowiązuje krótsza ścieżka.</w:t>
      </w:r>
    </w:p>
    <w:sectPr>
      <w:headerReference w:type="even" r:id="rId8"/>
      <w:headerReference w:type="default" r:id="rId9"/>
      <w:footerReference w:type="even" r:id="rId10"/>
      <w:footerReference w:type="default" r:id="rId11"/>
      <w:headerReference w:type="first" r:id="rId12"/>
      <w:footerReference w:type="first" r:id="rId13"/>
      <w:pgSz w:w="11906" w:h="16838"/>
      <w:pgMar w:top="1247" w:right="1247" w:bottom="1247" w:left="1247" w:header="652" w:footer="652"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EE"/>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Stopk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Stopka"/>
    </w:pPr>
  </w:p>
  <w:tbl>
    <w:tblPr>
      <w:tblW w:w="9412" w:type="dxa"/>
      <w:tblInd w:w="120" w:type="dxa"/>
      <w:tblLayout w:type="fixed"/>
      <w:tblLook w:val="04A0"/>
    </w:tblPr>
    <w:tblGrid>
      <w:gridCol w:w="6776"/>
      <w:gridCol w:w="2636"/>
    </w:tblGrid>
    <w:tr>
      <w:tc>
        <w:tcPr>
          <w:tcW w:w="6776" w:type="dxa"/>
          <w:tcMar>
            <w:top w:w="0" w:type="dxa"/>
            <w:left w:w="0" w:type="dxa"/>
            <w:bottom w:w="0" w:type="dxa"/>
            <w:right w:w="0" w:type="dxa"/>
          </w:tcMar>
          <w:vAlign w:val="center"/>
        </w:tcPr>
        <w:p>
          <w:pPr>
            <w:spacing w:after="0"/>
          </w:pPr>
          <w:r>
            <w:rPr>
              <w:rFonts w:eastAsia="Calibri"/>
              <w:b/>
              <w:color w:val="000000"/>
              <w:sz w:val="17"/>
              <w:lang w:val="pl-PL"/>
            </w:rPr>
            <w:t>IntegrityPhase  |  wersja 1.5.2</w:t>
          </w:r>
        </w:p>
      </w:tc>
      <w:tc>
        <w:tcPr>
          <w:tcW w:w="2636" w:type="dxa"/>
          <w:tcMar>
            <w:top w:w="0" w:type="dxa"/>
            <w:left w:w="0" w:type="dxa"/>
            <w:bottom w:w="0" w:type="dxa"/>
            <w:right w:w="0" w:type="dxa"/>
          </w:tcMar>
          <w:vAlign w:val="center"/>
        </w:tcPr>
        <w:p>
          <w:pPr>
            <w:spacing w:after="0"/>
            <w:jc w:val="right"/>
          </w:pPr>
          <w:r>
            <w:rPr>
              <w:rFonts w:eastAsia="Calibri"/>
              <w:color w:val="000000"/>
              <w:sz w:val="17"/>
              <w:lang w:val="pl-PL"/>
            </w:rPr>
            <w:t xml:space="preserve">Strona </w:t>
          </w:r>
          <w:fldSimple w:instr="PAGE">
            <w:r>
              <w:rPr>
                <w:noProof/>
              </w:rPr>
              <w:t>11</w:t>
            </w:r>
          </w:fldSimple>
        </w:p>
      </w:tc>
    </w:tr>
  </w:tbl>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Stopk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Nagwek"/>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Nagwek"/>
      <w:rPr>
        <w:lang w:val="pl-PL"/>
      </w:rPr>
    </w:pPr>
    <w:r>
      <w:rPr>
        <w:rFonts w:eastAsia="Calibri"/>
        <w:b/>
        <w:color w:val="000000"/>
        <w:sz w:val="17"/>
        <w:lang w:val="pl-PL"/>
      </w:rPr>
      <w:t>IntegrityPhase  |  DPA  |  wersja 1.5.2</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Nagwek"/>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8">
    <w:nsid w:val="FFFFFF89"/>
    <w:multiLevelType w:val="singleLevel"/>
    <w:tmpl w:val="29761A62"/>
    <w:lvl w:ilvl="0">
      <w:start w:val="1"/>
      <w:numFmt w:val="bullet"/>
      <w:pStyle w:val="Listapunktowana"/>
      <w:lvlText w:val=""/>
      <w:lvlJc w:val="left"/>
      <w:pPr>
        <w:tabs>
          <w:tab w:val="num" w:pos="360"/>
        </w:tabs>
        <w:ind w:left="360" w:hanging="360"/>
      </w:pPr>
      <w:rPr>
        <w:rFonts w:ascii="Symbol" w:hAnsi="Symbol" w:hint="default"/>
      </w:rPr>
    </w:lvl>
  </w:abstractNum>
  <w:abstractNum w:abstractNumId="9">
    <w:nsid w:val="01BD56C1"/>
    <w:multiLevelType w:val="singleLevel"/>
    <w:tmpl w:val="0415000F"/>
    <w:lvl w:ilvl="0">
      <w:start w:val="1"/>
      <w:numFmt w:val="decimal"/>
      <w:lvlText w:val="%1."/>
      <w:lvlJc w:val="left"/>
      <w:pPr>
        <w:tabs>
          <w:tab w:val="num" w:pos="720"/>
        </w:tabs>
        <w:ind w:left="720" w:hanging="360"/>
      </w:pPr>
    </w:lvl>
  </w:abstractNum>
  <w:abstractNum w:abstractNumId="10">
    <w:nsid w:val="059C6CEE"/>
    <w:multiLevelType w:val="singleLevel"/>
    <w:tmpl w:val="0415000F"/>
    <w:lvl w:ilvl="0">
      <w:start w:val="1"/>
      <w:numFmt w:val="decimal"/>
      <w:lvlText w:val="%1."/>
      <w:lvlJc w:val="left"/>
      <w:pPr>
        <w:tabs>
          <w:tab w:val="num" w:pos="720"/>
        </w:tabs>
        <w:ind w:left="720" w:hanging="360"/>
      </w:pPr>
    </w:lvl>
  </w:abstractNum>
  <w:abstractNum w:abstractNumId="11">
    <w:nsid w:val="17BD6546"/>
    <w:multiLevelType w:val="singleLevel"/>
    <w:tmpl w:val="0415000F"/>
    <w:lvl w:ilvl="0">
      <w:start w:val="1"/>
      <w:numFmt w:val="decimal"/>
      <w:lvlText w:val="%1."/>
      <w:lvlJc w:val="left"/>
      <w:pPr>
        <w:tabs>
          <w:tab w:val="num" w:pos="720"/>
        </w:tabs>
        <w:ind w:left="720" w:hanging="360"/>
      </w:pPr>
    </w:lvl>
  </w:abstractNum>
  <w:abstractNum w:abstractNumId="12">
    <w:nsid w:val="2D6E7EDE"/>
    <w:multiLevelType w:val="singleLevel"/>
    <w:tmpl w:val="0415000F"/>
    <w:lvl w:ilvl="0">
      <w:start w:val="1"/>
      <w:numFmt w:val="decimal"/>
      <w:lvlText w:val="%1."/>
      <w:lvlJc w:val="left"/>
      <w:pPr>
        <w:tabs>
          <w:tab w:val="num" w:pos="720"/>
        </w:tabs>
        <w:ind w:left="720" w:hanging="360"/>
      </w:pPr>
    </w:lvl>
  </w:abstractNum>
  <w:abstractNum w:abstractNumId="13">
    <w:nsid w:val="35A36911"/>
    <w:multiLevelType w:val="singleLevel"/>
    <w:tmpl w:val="0415000F"/>
    <w:lvl w:ilvl="0">
      <w:start w:val="1"/>
      <w:numFmt w:val="decimal"/>
      <w:lvlText w:val="%1."/>
      <w:lvlJc w:val="left"/>
      <w:pPr>
        <w:tabs>
          <w:tab w:val="num" w:pos="720"/>
        </w:tabs>
        <w:ind w:left="720" w:hanging="360"/>
      </w:pPr>
    </w:lvl>
  </w:abstractNum>
  <w:abstractNum w:abstractNumId="14">
    <w:nsid w:val="36EC3E19"/>
    <w:multiLevelType w:val="singleLevel"/>
    <w:tmpl w:val="0415000F"/>
    <w:lvl w:ilvl="0">
      <w:start w:val="1"/>
      <w:numFmt w:val="decimal"/>
      <w:lvlText w:val="%1."/>
      <w:lvlJc w:val="left"/>
      <w:pPr>
        <w:tabs>
          <w:tab w:val="num" w:pos="720"/>
        </w:tabs>
        <w:ind w:left="720" w:hanging="360"/>
      </w:pPr>
    </w:lvl>
  </w:abstractNum>
  <w:abstractNum w:abstractNumId="15">
    <w:nsid w:val="3A7C742A"/>
    <w:multiLevelType w:val="singleLevel"/>
    <w:tmpl w:val="0415000F"/>
    <w:lvl w:ilvl="0">
      <w:start w:val="1"/>
      <w:numFmt w:val="decimal"/>
      <w:lvlText w:val="%1."/>
      <w:lvlJc w:val="left"/>
      <w:pPr>
        <w:tabs>
          <w:tab w:val="num" w:pos="720"/>
        </w:tabs>
        <w:ind w:left="720" w:hanging="360"/>
      </w:pPr>
    </w:lvl>
  </w:abstractNum>
  <w:abstractNum w:abstractNumId="16">
    <w:nsid w:val="3C5F58E8"/>
    <w:multiLevelType w:val="singleLevel"/>
    <w:tmpl w:val="0415000F"/>
    <w:lvl w:ilvl="0">
      <w:start w:val="1"/>
      <w:numFmt w:val="decimal"/>
      <w:lvlText w:val="%1."/>
      <w:lvlJc w:val="left"/>
      <w:pPr>
        <w:tabs>
          <w:tab w:val="num" w:pos="720"/>
        </w:tabs>
        <w:ind w:left="720" w:hanging="360"/>
      </w:pPr>
    </w:lvl>
  </w:abstractNum>
  <w:abstractNum w:abstractNumId="17">
    <w:nsid w:val="42B0248E"/>
    <w:multiLevelType w:val="singleLevel"/>
    <w:tmpl w:val="0F5211BA"/>
    <w:lvl w:ilvl="0">
      <w:start w:val="1"/>
      <w:numFmt w:val="bullet"/>
      <w:lvlText w:val="•"/>
      <w:lvlJc w:val="left"/>
      <w:pPr>
        <w:tabs>
          <w:tab w:val="num" w:pos="720"/>
        </w:tabs>
        <w:ind w:left="720" w:hanging="360"/>
      </w:pPr>
    </w:lvl>
  </w:abstractNum>
  <w:abstractNum w:abstractNumId="18">
    <w:nsid w:val="505E6038"/>
    <w:multiLevelType w:val="singleLevel"/>
    <w:tmpl w:val="0415000F"/>
    <w:lvl w:ilvl="0">
      <w:start w:val="1"/>
      <w:numFmt w:val="decimal"/>
      <w:lvlText w:val="%1."/>
      <w:lvlJc w:val="left"/>
      <w:pPr>
        <w:tabs>
          <w:tab w:val="num" w:pos="720"/>
        </w:tabs>
        <w:ind w:left="720" w:hanging="360"/>
      </w:pPr>
    </w:lvl>
  </w:abstractNum>
  <w:abstractNum w:abstractNumId="19">
    <w:nsid w:val="506D2300"/>
    <w:multiLevelType w:val="singleLevel"/>
    <w:tmpl w:val="0415000F"/>
    <w:lvl w:ilvl="0">
      <w:start w:val="1"/>
      <w:numFmt w:val="decimal"/>
      <w:lvlText w:val="%1."/>
      <w:lvlJc w:val="left"/>
      <w:pPr>
        <w:tabs>
          <w:tab w:val="num" w:pos="720"/>
        </w:tabs>
        <w:ind w:left="720" w:hanging="360"/>
      </w:pPr>
    </w:lvl>
  </w:abstractNum>
  <w:abstractNum w:abstractNumId="20">
    <w:nsid w:val="53070519"/>
    <w:multiLevelType w:val="singleLevel"/>
    <w:tmpl w:val="0415000F"/>
    <w:lvl w:ilvl="0">
      <w:start w:val="1"/>
      <w:numFmt w:val="decimal"/>
      <w:lvlText w:val="%1."/>
      <w:lvlJc w:val="left"/>
      <w:pPr>
        <w:tabs>
          <w:tab w:val="num" w:pos="720"/>
        </w:tabs>
        <w:ind w:left="720" w:hanging="360"/>
      </w:pPr>
    </w:lvl>
  </w:abstractNum>
  <w:abstractNum w:abstractNumId="21">
    <w:nsid w:val="54603DD4"/>
    <w:multiLevelType w:val="singleLevel"/>
    <w:tmpl w:val="0415000F"/>
    <w:lvl w:ilvl="0">
      <w:start w:val="1"/>
      <w:numFmt w:val="decimal"/>
      <w:lvlText w:val="%1."/>
      <w:lvlJc w:val="left"/>
      <w:pPr>
        <w:tabs>
          <w:tab w:val="num" w:pos="720"/>
        </w:tabs>
        <w:ind w:left="720" w:hanging="360"/>
      </w:pPr>
    </w:lvl>
  </w:abstractNum>
  <w:abstractNum w:abstractNumId="22">
    <w:nsid w:val="56F66507"/>
    <w:multiLevelType w:val="singleLevel"/>
    <w:tmpl w:val="0415000F"/>
    <w:lvl w:ilvl="0">
      <w:start w:val="1"/>
      <w:numFmt w:val="decimal"/>
      <w:lvlText w:val="%1."/>
      <w:lvlJc w:val="left"/>
      <w:pPr>
        <w:tabs>
          <w:tab w:val="num" w:pos="720"/>
        </w:tabs>
        <w:ind w:left="720" w:hanging="360"/>
      </w:pPr>
    </w:lvl>
  </w:abstractNum>
  <w:abstractNum w:abstractNumId="23">
    <w:nsid w:val="57FD4B41"/>
    <w:multiLevelType w:val="singleLevel"/>
    <w:tmpl w:val="0415000F"/>
    <w:lvl w:ilvl="0">
      <w:start w:val="1"/>
      <w:numFmt w:val="decimal"/>
      <w:lvlText w:val="%1."/>
      <w:lvlJc w:val="left"/>
      <w:pPr>
        <w:tabs>
          <w:tab w:val="num" w:pos="720"/>
        </w:tabs>
        <w:ind w:left="720" w:hanging="360"/>
      </w:pPr>
    </w:lvl>
  </w:abstractNum>
  <w:abstractNum w:abstractNumId="24">
    <w:nsid w:val="581279FD"/>
    <w:multiLevelType w:val="singleLevel"/>
    <w:tmpl w:val="59745318"/>
    <w:lvl w:ilvl="0">
      <w:start w:val="1"/>
      <w:numFmt w:val="bullet"/>
      <w:lvlText w:val="•"/>
      <w:lvlJc w:val="left"/>
      <w:pPr>
        <w:tabs>
          <w:tab w:val="num" w:pos="720"/>
        </w:tabs>
        <w:ind w:left="720" w:hanging="360"/>
      </w:pPr>
    </w:lvl>
  </w:abstractNum>
  <w:abstractNum w:abstractNumId="25">
    <w:nsid w:val="5A401F49"/>
    <w:multiLevelType w:val="singleLevel"/>
    <w:tmpl w:val="0415000F"/>
    <w:lvl w:ilvl="0">
      <w:start w:val="1"/>
      <w:numFmt w:val="decimal"/>
      <w:lvlText w:val="%1."/>
      <w:lvlJc w:val="left"/>
      <w:pPr>
        <w:tabs>
          <w:tab w:val="num" w:pos="720"/>
        </w:tabs>
        <w:ind w:left="720" w:hanging="360"/>
      </w:pPr>
    </w:lvl>
  </w:abstractNum>
  <w:abstractNum w:abstractNumId="26">
    <w:nsid w:val="5CDD4319"/>
    <w:multiLevelType w:val="singleLevel"/>
    <w:tmpl w:val="0415000F"/>
    <w:lvl w:ilvl="0">
      <w:start w:val="1"/>
      <w:numFmt w:val="decimal"/>
      <w:lvlText w:val="%1."/>
      <w:lvlJc w:val="left"/>
      <w:pPr>
        <w:tabs>
          <w:tab w:val="num" w:pos="720"/>
        </w:tabs>
        <w:ind w:left="720" w:hanging="360"/>
      </w:pPr>
    </w:lvl>
  </w:abstractNum>
  <w:abstractNum w:abstractNumId="27">
    <w:nsid w:val="5E4C614A"/>
    <w:multiLevelType w:val="singleLevel"/>
    <w:tmpl w:val="4EFED76C"/>
    <w:lvl w:ilvl="0">
      <w:start w:val="1"/>
      <w:numFmt w:val="bullet"/>
      <w:lvlText w:val="•"/>
      <w:lvlJc w:val="left"/>
      <w:pPr>
        <w:tabs>
          <w:tab w:val="num" w:pos="720"/>
        </w:tabs>
        <w:ind w:left="720" w:hanging="360"/>
      </w:pPr>
    </w:lvl>
  </w:abstractNum>
  <w:abstractNum w:abstractNumId="28">
    <w:nsid w:val="632C4DDF"/>
    <w:multiLevelType w:val="singleLevel"/>
    <w:tmpl w:val="0415000F"/>
    <w:lvl w:ilvl="0">
      <w:start w:val="1"/>
      <w:numFmt w:val="decimal"/>
      <w:lvlText w:val="%1."/>
      <w:lvlJc w:val="left"/>
      <w:pPr>
        <w:tabs>
          <w:tab w:val="num" w:pos="720"/>
        </w:tabs>
        <w:ind w:left="720" w:hanging="360"/>
      </w:pPr>
    </w:lvl>
  </w:abstractNum>
  <w:abstractNum w:abstractNumId="29">
    <w:nsid w:val="698B540A"/>
    <w:multiLevelType w:val="singleLevel"/>
    <w:tmpl w:val="0415000F"/>
    <w:lvl w:ilvl="0">
      <w:start w:val="1"/>
      <w:numFmt w:val="decimal"/>
      <w:lvlText w:val="%1."/>
      <w:lvlJc w:val="left"/>
      <w:pPr>
        <w:tabs>
          <w:tab w:val="num" w:pos="720"/>
        </w:tabs>
        <w:ind w:left="720" w:hanging="360"/>
      </w:pPr>
    </w:lvl>
  </w:abstractNum>
  <w:abstractNum w:abstractNumId="30">
    <w:nsid w:val="705C59A6"/>
    <w:multiLevelType w:val="singleLevel"/>
    <w:tmpl w:val="F90615A6"/>
    <w:lvl w:ilvl="0">
      <w:start w:val="1"/>
      <w:numFmt w:val="bullet"/>
      <w:lvlText w:val="•"/>
      <w:lvlJc w:val="left"/>
      <w:pPr>
        <w:tabs>
          <w:tab w:val="num" w:pos="720"/>
        </w:tabs>
        <w:ind w:left="720" w:hanging="360"/>
      </w:pPr>
    </w:lvl>
  </w:abstractNum>
  <w:abstractNum w:abstractNumId="31">
    <w:nsid w:val="7C3255B0"/>
    <w:multiLevelType w:val="singleLevel"/>
    <w:tmpl w:val="1856E9DA"/>
    <w:lvl w:ilvl="0">
      <w:start w:val="1"/>
      <w:numFmt w:val="bullet"/>
      <w:lvlText w:val="•"/>
      <w:lvlJc w:val="left"/>
      <w:pPr>
        <w:tabs>
          <w:tab w:val="num" w:pos="720"/>
        </w:tabs>
        <w:ind w:left="720" w:hanging="360"/>
      </w:pPr>
    </w:lvl>
  </w:abstractNum>
  <w:abstractNum w:abstractNumId="33">
    <w:nsid w:val="7F7210B8"/>
    <w:multiLevelType w:val="singleLevel"/>
    <w:tmpl w:val="0415000F"/>
    <w:lvl w:ilvl="0">
      <w:start w:val="1"/>
      <w:numFmt w:val="decimal"/>
      <w:lvlText w:val="%1."/>
      <w:lvlJc w:val="left"/>
      <w:pPr>
        <w:tabs>
          <w:tab w:val="num" w:pos="720"/>
        </w:tabs>
        <w:ind w:left="72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3"/>
  </w:num>
  <w:num w:numId="11">
    <w:abstractNumId w:val="9"/>
  </w:num>
  <w:num w:numId="12">
    <w:abstractNumId w:val="29"/>
  </w:num>
  <w:num w:numId="13">
    <w:abstractNumId w:val="10"/>
  </w:num>
  <w:num w:numId="14">
    <w:abstractNumId w:val="31"/>
  </w:num>
  <w:num w:numId="15">
    <w:abstractNumId w:val="18"/>
  </w:num>
  <w:num w:numId="16">
    <w:abstractNumId w:val="30"/>
  </w:num>
  <w:num w:numId="17">
    <w:abstractNumId w:val="28"/>
  </w:num>
  <w:num w:numId="18">
    <w:abstractNumId w:val="27"/>
  </w:num>
  <w:num w:numId="19">
    <w:abstractNumId w:val="25"/>
  </w:num>
  <w:num w:numId="20">
    <w:abstractNumId w:val="24"/>
  </w:num>
  <w:num w:numId="21">
    <w:abstractNumId w:val="20"/>
  </w:num>
  <w:num w:numId="22">
    <w:abstractNumId w:val="17"/>
  </w:num>
  <w:num w:numId="23">
    <w:abstractNumId w:val="19"/>
  </w:num>
  <w:num w:numId="24">
    <w:abstractNumId w:val="12"/>
  </w:num>
  <w:num w:numId="25">
    <w:abstractNumId w:val="23"/>
  </w:num>
  <w:num w:numId="26">
    <w:abstractNumId w:val="11"/>
  </w:num>
  <w:num w:numId="27">
    <w:abstractNumId w:val="21"/>
  </w:num>
  <w:num w:numId="28">
    <w:abstractNumId w:val="16"/>
  </w:num>
  <w:num w:numId="29">
    <w:abstractNumId w:val="33"/>
  </w:num>
  <w:num w:numId="30">
    <w:abstractNumId w:val="26"/>
  </w:num>
  <w:num w:numId="31">
    <w:abstractNumId w:val="15"/>
  </w:num>
  <w:num w:numId="32">
    <w:abstractNumId w:val="14"/>
  </w:num>
  <w:num w:numId="33">
    <w:abstractNumId w:val="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hyphenationZone w:val="425"/>
  <w:characterSpacingControl w:val="doNotCompress"/>
  <w:footnotePr>
    <w:footnote w:id="-1"/>
    <w:footnote w:id="0"/>
  </w:footnotePr>
  <w:endnotePr>
    <w:endnote w:id="-1"/>
    <w:endnote w:id="0"/>
  </w:endnotePr>
  <w:compat>
    <w:useFELayout/>
  </w:compat>
  <w:rsids>
    <w:rsidRoot w:val="00B47730"/>
    <w:rsid w:val="00034616"/>
    <w:rsid w:val="0006063C"/>
    <w:rsid w:val="0015074B"/>
    <w:rsid w:val="002944F5"/>
    <w:rsid w:val="0029639D"/>
    <w:rsid w:val="00326F90"/>
    <w:rsid w:val="006D118B"/>
    <w:rsid w:val="007A4F31"/>
    <w:rsid w:val="00990D58"/>
    <w:rsid w:val="009F3778"/>
    <w:rsid w:val="00AA1D8D"/>
    <w:rsid w:val="00B47730"/>
    <w:rsid w:val="00BD33D5"/>
    <w:rsid w:val="00CB0664"/>
    <w:rsid w:val="00DE1A97"/>
    <w:rsid w:val="00E65964"/>
    <w:rsid w:val="00F2083D"/>
    <w:rsid w:val="00FC693F"/>
    <w:rsid w:val="00FD6BF4"/>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MS Mincho" w:hAnsi="Cambria"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FC693F"/>
    <w:pPr>
      <w:spacing w:after="100" w:line="264" w:lineRule="auto"/>
    </w:pPr>
    <w:rPr>
      <w:rFonts w:ascii="Calibri" w:hAnsi="Calibri"/>
      <w:sz w:val="21"/>
      <w:szCs w:val="22"/>
      <w:lang w:val="en-US" w:eastAsia="en-US"/>
    </w:rPr>
  </w:style>
  <w:style w:type="paragraph" w:styleId="Nagwek1">
    <w:name w:val="heading 1"/>
    <w:basedOn w:val="Normalny"/>
    <w:next w:val="Normalny"/>
    <w:link w:val="Nagwek1Znak"/>
    <w:uiPriority w:val="9"/>
    <w:qFormat/>
    <w:rsid w:val="00FC693F"/>
    <w:pPr>
      <w:keepNext/>
      <w:keepLines/>
      <w:spacing w:before="320" w:after="160"/>
      <w:outlineLvl w:val="0"/>
    </w:pPr>
    <w:rPr>
      <w:rFonts w:eastAsia="MS Gothic"/>
      <w:b/>
      <w:bCs/>
      <w:color w:val="000000"/>
      <w:sz w:val="32"/>
      <w:szCs w:val="28"/>
    </w:rPr>
  </w:style>
  <w:style w:type="paragraph" w:styleId="Nagwek2">
    <w:name w:val="heading 2"/>
    <w:basedOn w:val="Normalny"/>
    <w:next w:val="Normalny"/>
    <w:link w:val="Nagwek2Znak"/>
    <w:uiPriority w:val="9"/>
    <w:unhideWhenUsed/>
    <w:qFormat/>
    <w:rsid w:val="00FC693F"/>
    <w:pPr>
      <w:keepNext/>
      <w:keepLines/>
      <w:spacing w:before="240" w:after="120"/>
      <w:outlineLvl w:val="1"/>
    </w:pPr>
    <w:rPr>
      <w:rFonts w:eastAsia="MS Gothic"/>
      <w:b/>
      <w:bCs/>
      <w:color w:val="000000"/>
      <w:sz w:val="26"/>
      <w:szCs w:val="26"/>
    </w:rPr>
  </w:style>
  <w:style w:type="paragraph" w:styleId="Nagwek3">
    <w:name w:val="heading 3"/>
    <w:basedOn w:val="Normalny"/>
    <w:next w:val="Normalny"/>
    <w:link w:val="Nagwek3Znak"/>
    <w:uiPriority w:val="9"/>
    <w:unhideWhenUsed/>
    <w:qFormat/>
    <w:rsid w:val="00FC693F"/>
    <w:pPr>
      <w:keepNext/>
      <w:keepLines/>
      <w:spacing w:before="160" w:after="80"/>
      <w:outlineLvl w:val="2"/>
    </w:pPr>
    <w:rPr>
      <w:rFonts w:eastAsia="MS Gothic"/>
      <w:b/>
      <w:bCs/>
      <w:color w:val="000000"/>
      <w:sz w:val="24"/>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eastAsia="MS Gothic"/>
      <w:b/>
      <w:bCs/>
      <w:i/>
      <w:iCs/>
      <w:color w:val="000000"/>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eastAsia="MS Gothic"/>
      <w:color w:val="000000"/>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eastAsia="MS Gothic"/>
      <w:i/>
      <w:iCs/>
      <w:color w:val="000000"/>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eastAsia="MS Gothic"/>
      <w:i/>
      <w:iCs/>
      <w:color w:val="000000"/>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eastAsia="MS Gothic"/>
      <w:color w:val="000000"/>
      <w:sz w:val="20"/>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eastAsia="MS Gothic"/>
      <w:i/>
      <w:iCs/>
      <w:color w:val="000000"/>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rPr>
      <w:sz w:val="22"/>
      <w:szCs w:val="22"/>
      <w:lang w:val="en-US" w:eastAsia="en-US"/>
    </w:rPr>
  </w:style>
  <w:style w:type="character" w:customStyle="1" w:styleId="Nagwek1Znak">
    <w:name w:val="Nagłówek 1 Znak"/>
    <w:link w:val="Nagwek1"/>
    <w:uiPriority w:val="9"/>
    <w:rsid w:val="00FC693F"/>
    <w:rPr>
      <w:rFonts w:ascii="Calibri" w:eastAsia="MS Gothic" w:hAnsi="Calibri" w:cs="Times New Roman"/>
      <w:b/>
      <w:bCs/>
      <w:color w:val="000000"/>
      <w:sz w:val="28"/>
      <w:szCs w:val="28"/>
    </w:rPr>
  </w:style>
  <w:style w:type="character" w:customStyle="1" w:styleId="Nagwek2Znak">
    <w:name w:val="Nagłówek 2 Znak"/>
    <w:link w:val="Nagwek2"/>
    <w:uiPriority w:val="9"/>
    <w:rsid w:val="00FC693F"/>
    <w:rPr>
      <w:rFonts w:ascii="Calibri" w:eastAsia="MS Gothic" w:hAnsi="Calibri" w:cs="Times New Roman"/>
      <w:b/>
      <w:bCs/>
      <w:color w:val="000000"/>
      <w:sz w:val="26"/>
      <w:szCs w:val="26"/>
    </w:rPr>
  </w:style>
  <w:style w:type="character" w:customStyle="1" w:styleId="Nagwek3Znak">
    <w:name w:val="Nagłówek 3 Znak"/>
    <w:link w:val="Nagwek3"/>
    <w:uiPriority w:val="9"/>
    <w:rsid w:val="00FC693F"/>
    <w:rPr>
      <w:rFonts w:ascii="Calibri" w:eastAsia="MS Gothic" w:hAnsi="Calibri" w:cs="Times New Roman"/>
      <w:b/>
      <w:bCs/>
      <w:color w:val="000000"/>
    </w:rPr>
  </w:style>
  <w:style w:type="paragraph" w:styleId="Tytu">
    <w:name w:val="Title"/>
    <w:basedOn w:val="Normalny"/>
    <w:next w:val="Normalny"/>
    <w:link w:val="TytuZnak"/>
    <w:uiPriority w:val="10"/>
    <w:qFormat/>
    <w:rsid w:val="00FC693F"/>
    <w:pPr>
      <w:spacing w:after="300" w:line="240" w:lineRule="auto"/>
      <w:contextualSpacing/>
    </w:pPr>
    <w:rPr>
      <w:rFonts w:eastAsia="MS Gothic"/>
      <w:color w:val="000000"/>
      <w:spacing w:val="5"/>
      <w:kern w:val="28"/>
      <w:sz w:val="52"/>
      <w:szCs w:val="52"/>
    </w:rPr>
  </w:style>
  <w:style w:type="character" w:customStyle="1" w:styleId="TytuZnak">
    <w:name w:val="Tytuł Znak"/>
    <w:link w:val="Tytu"/>
    <w:uiPriority w:val="10"/>
    <w:rsid w:val="00FC693F"/>
    <w:rPr>
      <w:rFonts w:ascii="Calibri" w:eastAsia="MS Gothic" w:hAnsi="Calibri" w:cs="Times New Roman"/>
      <w:color w:val="000000"/>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eastAsia="MS Gothic"/>
      <w:i/>
      <w:iCs/>
      <w:color w:val="000000"/>
      <w:spacing w:val="15"/>
      <w:sz w:val="24"/>
      <w:szCs w:val="24"/>
    </w:rPr>
  </w:style>
  <w:style w:type="character" w:customStyle="1" w:styleId="PodtytuZnak">
    <w:name w:val="Podtytuł Znak"/>
    <w:link w:val="Podtytu"/>
    <w:uiPriority w:val="11"/>
    <w:rsid w:val="00FC693F"/>
    <w:rPr>
      <w:rFonts w:ascii="Calibri" w:eastAsia="MS Gothic" w:hAnsi="Calibri" w:cs="Times New Roman"/>
      <w:i/>
      <w:iCs/>
      <w:color w:val="000000"/>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pPr>
      <w:spacing w:after="120"/>
    </w:pPr>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after="120"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pPr>
      <w:spacing w:after="120"/>
    </w:pPr>
    <w:rPr>
      <w:sz w:val="16"/>
      <w:szCs w:val="16"/>
    </w:rPr>
  </w:style>
  <w:style w:type="character" w:customStyle="1" w:styleId="Tekstpodstawowy3Znak">
    <w:name w:val="Tekst podstawowy 3 Znak"/>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spacing w:after="200" w:line="276" w:lineRule="auto"/>
    </w:pPr>
    <w:rPr>
      <w:rFonts w:ascii="Courier" w:hAnsi="Courier"/>
      <w:lang w:val="en-US" w:eastAsia="en-US"/>
    </w:rPr>
  </w:style>
  <w:style w:type="character" w:customStyle="1" w:styleId="TekstmakraZnak">
    <w:name w:val="Tekst makra Znak"/>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rPr>
  </w:style>
  <w:style w:type="character" w:customStyle="1" w:styleId="CytatZnak">
    <w:name w:val="Cytat Znak"/>
    <w:link w:val="Cytat"/>
    <w:uiPriority w:val="29"/>
    <w:rsid w:val="00FC693F"/>
    <w:rPr>
      <w:i/>
      <w:iCs/>
      <w:color w:val="000000"/>
    </w:rPr>
  </w:style>
  <w:style w:type="character" w:customStyle="1" w:styleId="Nagwek4Znak">
    <w:name w:val="Nagłówek 4 Znak"/>
    <w:link w:val="Nagwek4"/>
    <w:uiPriority w:val="9"/>
    <w:semiHidden/>
    <w:rsid w:val="00FC693F"/>
    <w:rPr>
      <w:rFonts w:ascii="Calibri" w:eastAsia="MS Gothic" w:hAnsi="Calibri" w:cs="Times New Roman"/>
      <w:b/>
      <w:bCs/>
      <w:i/>
      <w:iCs/>
      <w:color w:val="000000"/>
    </w:rPr>
  </w:style>
  <w:style w:type="character" w:customStyle="1" w:styleId="Nagwek5Znak">
    <w:name w:val="Nagłówek 5 Znak"/>
    <w:link w:val="Nagwek5"/>
    <w:uiPriority w:val="9"/>
    <w:semiHidden/>
    <w:rsid w:val="00FC693F"/>
    <w:rPr>
      <w:rFonts w:ascii="Calibri" w:eastAsia="MS Gothic" w:hAnsi="Calibri" w:cs="Times New Roman"/>
      <w:color w:val="000000"/>
    </w:rPr>
  </w:style>
  <w:style w:type="character" w:customStyle="1" w:styleId="Nagwek6Znak">
    <w:name w:val="Nagłówek 6 Znak"/>
    <w:link w:val="Nagwek6"/>
    <w:uiPriority w:val="9"/>
    <w:semiHidden/>
    <w:rsid w:val="00FC693F"/>
    <w:rPr>
      <w:rFonts w:ascii="Calibri" w:eastAsia="MS Gothic" w:hAnsi="Calibri" w:cs="Times New Roman"/>
      <w:i/>
      <w:iCs/>
      <w:color w:val="000000"/>
    </w:rPr>
  </w:style>
  <w:style w:type="character" w:customStyle="1" w:styleId="Nagwek7Znak">
    <w:name w:val="Nagłówek 7 Znak"/>
    <w:link w:val="Nagwek7"/>
    <w:uiPriority w:val="9"/>
    <w:semiHidden/>
    <w:rsid w:val="00FC693F"/>
    <w:rPr>
      <w:rFonts w:ascii="Calibri" w:eastAsia="MS Gothic" w:hAnsi="Calibri" w:cs="Times New Roman"/>
      <w:i/>
      <w:iCs/>
      <w:color w:val="000000"/>
    </w:rPr>
  </w:style>
  <w:style w:type="character" w:customStyle="1" w:styleId="Nagwek8Znak">
    <w:name w:val="Nagłówek 8 Znak"/>
    <w:link w:val="Nagwek8"/>
    <w:uiPriority w:val="9"/>
    <w:semiHidden/>
    <w:rsid w:val="00FC693F"/>
    <w:rPr>
      <w:rFonts w:ascii="Calibri" w:eastAsia="MS Gothic" w:hAnsi="Calibri" w:cs="Times New Roman"/>
      <w:color w:val="000000"/>
      <w:sz w:val="20"/>
      <w:szCs w:val="20"/>
    </w:rPr>
  </w:style>
  <w:style w:type="character" w:customStyle="1" w:styleId="Nagwek9Znak">
    <w:name w:val="Nagłówek 9 Znak"/>
    <w:link w:val="Nagwek9"/>
    <w:uiPriority w:val="9"/>
    <w:semiHidden/>
    <w:rsid w:val="00FC693F"/>
    <w:rPr>
      <w:rFonts w:ascii="Calibri" w:eastAsia="MS Gothic" w:hAnsi="Calibri" w:cs="Times New Roman"/>
      <w:i/>
      <w:iCs/>
      <w:color w:val="000000"/>
      <w:sz w:val="20"/>
      <w:szCs w:val="20"/>
    </w:rPr>
  </w:style>
  <w:style w:type="paragraph" w:styleId="Legenda">
    <w:name w:val="caption"/>
    <w:basedOn w:val="Normalny"/>
    <w:next w:val="Normalny"/>
    <w:uiPriority w:val="35"/>
    <w:semiHidden/>
    <w:unhideWhenUsed/>
    <w:qFormat/>
    <w:rsid w:val="00FC693F"/>
    <w:pPr>
      <w:spacing w:line="240" w:lineRule="auto"/>
    </w:pPr>
    <w:rPr>
      <w:b/>
      <w:bCs/>
      <w:color w:val="000000"/>
      <w:sz w:val="18"/>
      <w:szCs w:val="18"/>
    </w:rPr>
  </w:style>
  <w:style w:type="character" w:styleId="Pogrubienie">
    <w:name w:val="Strong"/>
    <w:uiPriority w:val="22"/>
    <w:qFormat/>
    <w:rsid w:val="00FC693F"/>
    <w:rPr>
      <w:b/>
      <w:bCs/>
    </w:rPr>
  </w:style>
  <w:style w:type="character" w:styleId="Uwydatnienie">
    <w:name w:val="Emphasis"/>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pBdr>
      <w:spacing w:before="200" w:after="280"/>
      <w:ind w:left="936" w:right="936"/>
    </w:pPr>
    <w:rPr>
      <w:b/>
      <w:bCs/>
      <w:i/>
      <w:iCs/>
      <w:color w:val="000000"/>
    </w:rPr>
  </w:style>
  <w:style w:type="character" w:customStyle="1" w:styleId="CytatintensywnyZnak">
    <w:name w:val="Cytat intensywny Znak"/>
    <w:link w:val="Cytatintensywny"/>
    <w:uiPriority w:val="30"/>
    <w:rsid w:val="00FC693F"/>
    <w:rPr>
      <w:b/>
      <w:bCs/>
      <w:i/>
      <w:iCs/>
      <w:color w:val="000000"/>
    </w:rPr>
  </w:style>
  <w:style w:type="character" w:styleId="Wyrnieniedelikatne">
    <w:name w:val="Subtle Emphasis"/>
    <w:uiPriority w:val="19"/>
    <w:qFormat/>
    <w:rsid w:val="00FC693F"/>
    <w:rPr>
      <w:i/>
      <w:iCs/>
      <w:color w:val="000000"/>
    </w:rPr>
  </w:style>
  <w:style w:type="character" w:styleId="Wyrnienieintensywne">
    <w:name w:val="Intense Emphasis"/>
    <w:uiPriority w:val="21"/>
    <w:qFormat/>
    <w:rsid w:val="00FC693F"/>
    <w:rPr>
      <w:b/>
      <w:bCs/>
      <w:i/>
      <w:iCs/>
      <w:color w:val="000000"/>
    </w:rPr>
  </w:style>
  <w:style w:type="character" w:styleId="Odwoaniedelikatne">
    <w:name w:val="Subtle Reference"/>
    <w:uiPriority w:val="31"/>
    <w:qFormat/>
    <w:rsid w:val="00FC693F"/>
    <w:rPr>
      <w:smallCaps/>
      <w:color w:val="000000"/>
      <w:u w:val="single"/>
    </w:rPr>
  </w:style>
  <w:style w:type="character" w:styleId="Odwoanieintensywne">
    <w:name w:val="Intense Reference"/>
    <w:uiPriority w:val="32"/>
    <w:qFormat/>
    <w:rsid w:val="00FC693F"/>
    <w:rPr>
      <w:b/>
      <w:bCs/>
      <w:smallCaps/>
      <w:color w:val="000000"/>
      <w:spacing w:val="5"/>
      <w:u w:val="single"/>
    </w:rPr>
  </w:style>
  <w:style w:type="character" w:styleId="Tytuksiki">
    <w:name w:val="Book Title"/>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Jasnecieniowanie">
    <w:name w:val="Light Shading"/>
    <w:basedOn w:val="Standardowy"/>
    <w:uiPriority w:val="60"/>
    <w:rsid w:val="00FC693F"/>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Jasnecieniowanieakcent1">
    <w:name w:val="Light Shading Accent 1"/>
    <w:basedOn w:val="Standardowy"/>
    <w:uiPriority w:val="60"/>
    <w:rsid w:val="00FC693F"/>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Jasnecieniowanieakcent2">
    <w:name w:val="Light Shading Accent 2"/>
    <w:basedOn w:val="Standardowy"/>
    <w:uiPriority w:val="60"/>
    <w:rsid w:val="00FC693F"/>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Jasnecieniowanieakcent3">
    <w:name w:val="Light Shading Accent 3"/>
    <w:basedOn w:val="Standardowy"/>
    <w:uiPriority w:val="60"/>
    <w:rsid w:val="00FC693F"/>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Jasnecieniowanieakcent4">
    <w:name w:val="Light Shading Accent 4"/>
    <w:basedOn w:val="Standardowy"/>
    <w:uiPriority w:val="60"/>
    <w:rsid w:val="00FC693F"/>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Jasnecieniowanieakcent5">
    <w:name w:val="Light Shading Accent 5"/>
    <w:basedOn w:val="Standardowy"/>
    <w:uiPriority w:val="60"/>
    <w:rsid w:val="00FC693F"/>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Jasnecieniowanieakcent6">
    <w:name w:val="Light Shading Accent 6"/>
    <w:basedOn w:val="Standardowy"/>
    <w:uiPriority w:val="60"/>
    <w:rsid w:val="00FC693F"/>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Jasnalista">
    <w:name w:val="Light List"/>
    <w:basedOn w:val="Standardowy"/>
    <w:uiPriority w:val="61"/>
    <w:rsid w:val="00FC693F"/>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Jasnalistaakcent1">
    <w:name w:val="Light List Accent 1"/>
    <w:basedOn w:val="Standardowy"/>
    <w:uiPriority w:val="61"/>
    <w:rsid w:val="00FC693F"/>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Jasnalistaakcent2">
    <w:name w:val="Light List Accent 2"/>
    <w:basedOn w:val="Standardowy"/>
    <w:uiPriority w:val="61"/>
    <w:rsid w:val="00CB0664"/>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Jasnalistaakcent3">
    <w:name w:val="Light List Accent 3"/>
    <w:basedOn w:val="Standardowy"/>
    <w:uiPriority w:val="61"/>
    <w:rsid w:val="00CB0664"/>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Jasnalistaakcent4">
    <w:name w:val="Light List Accent 4"/>
    <w:basedOn w:val="Standardowy"/>
    <w:uiPriority w:val="61"/>
    <w:rsid w:val="00CB0664"/>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Jasnalistaakcent5">
    <w:name w:val="Light List Accent 5"/>
    <w:basedOn w:val="Standardowy"/>
    <w:uiPriority w:val="61"/>
    <w:rsid w:val="00CB0664"/>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Jasnalistaakcent6">
    <w:name w:val="Light List Accent 6"/>
    <w:basedOn w:val="Standardowy"/>
    <w:uiPriority w:val="61"/>
    <w:rsid w:val="00CB0664"/>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Jasnasiatka">
    <w:name w:val="Light Grid"/>
    <w:basedOn w:val="Standardowy"/>
    <w:uiPriority w:val="62"/>
    <w:rsid w:val="00CB0664"/>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libri" w:eastAsia="MS Gothic" w:hAnsi="Calibr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w:eastAsia="MS Gothic" w:hAnsi="Calibr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Jasnasiatkaakcent1">
    <w:name w:val="Light Grid Accent 1"/>
    <w:basedOn w:val="Standardowy"/>
    <w:uiPriority w:val="62"/>
    <w:rsid w:val="00CB0664"/>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libri" w:eastAsia="MS Gothic" w:hAnsi="Calibri"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w:eastAsia="MS Gothic" w:hAnsi="Calibri"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Jasnasiatkaakcent2">
    <w:name w:val="Light Grid Accent 2"/>
    <w:basedOn w:val="Standardowy"/>
    <w:uiPriority w:val="62"/>
    <w:rsid w:val="00CB0664"/>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libri" w:eastAsia="MS Gothic" w:hAnsi="Calibri"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libri" w:eastAsia="MS Gothic" w:hAnsi="Calibri"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Jasnasiatkaakcent3">
    <w:name w:val="Light Grid Accent 3"/>
    <w:basedOn w:val="Standardowy"/>
    <w:uiPriority w:val="62"/>
    <w:rsid w:val="00CB0664"/>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libri" w:eastAsia="MS Gothic" w:hAnsi="Calibri"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libri" w:eastAsia="MS Gothic" w:hAnsi="Calibri"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Jasnasiatkaakcent4">
    <w:name w:val="Light Grid Accent 4"/>
    <w:basedOn w:val="Standardowy"/>
    <w:uiPriority w:val="62"/>
    <w:rsid w:val="00CB0664"/>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libri" w:eastAsia="MS Gothic" w:hAnsi="Calibri"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libri" w:eastAsia="MS Gothic" w:hAnsi="Calibri"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Jasnasiatkaakcent5">
    <w:name w:val="Light Grid Accent 5"/>
    <w:basedOn w:val="Standardowy"/>
    <w:uiPriority w:val="62"/>
    <w:rsid w:val="00CB0664"/>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libri" w:eastAsia="MS Gothic" w:hAnsi="Calibri"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libri" w:eastAsia="MS Gothic" w:hAnsi="Calibri"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Jasnasiatkaakcent6">
    <w:name w:val="Light Grid Accent 6"/>
    <w:basedOn w:val="Standardowy"/>
    <w:uiPriority w:val="62"/>
    <w:rsid w:val="00CB0664"/>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libri" w:eastAsia="MS Gothic" w:hAnsi="Calibri"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libri" w:eastAsia="MS Gothic" w:hAnsi="Calibri"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redniecieniowanie1">
    <w:name w:val="Medium Shading 1"/>
    <w:basedOn w:val="Standardowy"/>
    <w:uiPriority w:val="63"/>
    <w:rsid w:val="00CB0664"/>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redniecieniowanie1akcent1">
    <w:name w:val="Medium Shading 1 Accent 1"/>
    <w:basedOn w:val="Standardowy"/>
    <w:uiPriority w:val="63"/>
    <w:rsid w:val="00CB0664"/>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redniecieniowanie2">
    <w:name w:val="Medium Shading 2"/>
    <w:basedOn w:val="Standardowy"/>
    <w:uiPriority w:val="64"/>
    <w:rsid w:val="00CB066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000000"/>
      </w:rPr>
      <w:tblPr/>
      <w:tcPr>
        <w:tcBorders>
          <w:top w:val="nil"/>
          <w:left w:val="nil"/>
          <w:bottom w:val="single" w:sz="18" w:space="0" w:color="auto"/>
          <w:right w:val="nil"/>
          <w:insideH w:val="nil"/>
          <w:insideV w:val="nil"/>
        </w:tcBorders>
        <w:shd w:val="clear" w:color="auto" w:fill="000000"/>
      </w:tcPr>
    </w:tblStylePr>
    <w:tblStylePr w:type="lastCol">
      <w:rPr>
        <w:b/>
        <w:bCs/>
        <w:color w:val="000000"/>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customStyle="1" w:styleId="redniecieniowanie2akcent1">
    <w:name w:val="Medium Shading 2 Accent 1"/>
    <w:basedOn w:val="Standardowy"/>
    <w:uiPriority w:val="64"/>
    <w:rsid w:val="00CB066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000000"/>
      </w:rPr>
      <w:tblPr/>
      <w:tcPr>
        <w:tcBorders>
          <w:top w:val="nil"/>
          <w:left w:val="nil"/>
          <w:bottom w:val="single" w:sz="18" w:space="0" w:color="auto"/>
          <w:right w:val="nil"/>
          <w:insideH w:val="nil"/>
          <w:insideV w:val="nil"/>
        </w:tcBorders>
        <w:shd w:val="clear" w:color="auto" w:fill="4F81BD"/>
      </w:tcPr>
    </w:tblStylePr>
    <w:tblStylePr w:type="lastCol">
      <w:rPr>
        <w:b/>
        <w:bCs/>
        <w:color w:val="000000"/>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000000"/>
      </w:rPr>
      <w:tblPr/>
      <w:tcPr>
        <w:tcBorders>
          <w:top w:val="nil"/>
          <w:left w:val="nil"/>
          <w:bottom w:val="single" w:sz="18" w:space="0" w:color="auto"/>
          <w:right w:val="nil"/>
          <w:insideH w:val="nil"/>
          <w:insideV w:val="nil"/>
        </w:tcBorders>
        <w:shd w:val="clear" w:color="auto" w:fill="C0504D"/>
      </w:tcPr>
    </w:tblStylePr>
    <w:tblStylePr w:type="lastCol">
      <w:rPr>
        <w:b/>
        <w:bCs/>
        <w:color w:val="000000"/>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000000"/>
      </w:rPr>
      <w:tblPr/>
      <w:tcPr>
        <w:tcBorders>
          <w:top w:val="nil"/>
          <w:left w:val="nil"/>
          <w:bottom w:val="single" w:sz="18" w:space="0" w:color="auto"/>
          <w:right w:val="nil"/>
          <w:insideH w:val="nil"/>
          <w:insideV w:val="nil"/>
        </w:tcBorders>
        <w:shd w:val="clear" w:color="auto" w:fill="9BBB59"/>
      </w:tcPr>
    </w:tblStylePr>
    <w:tblStylePr w:type="lastCol">
      <w:rPr>
        <w:b/>
        <w:bCs/>
        <w:color w:val="000000"/>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000000"/>
      </w:rPr>
      <w:tblPr/>
      <w:tcPr>
        <w:tcBorders>
          <w:top w:val="nil"/>
          <w:left w:val="nil"/>
          <w:bottom w:val="single" w:sz="18" w:space="0" w:color="auto"/>
          <w:right w:val="nil"/>
          <w:insideH w:val="nil"/>
          <w:insideV w:val="nil"/>
        </w:tcBorders>
        <w:shd w:val="clear" w:color="auto" w:fill="8064A2"/>
      </w:tcPr>
    </w:tblStylePr>
    <w:tblStylePr w:type="lastCol">
      <w:rPr>
        <w:b/>
        <w:bCs/>
        <w:color w:val="000000"/>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000000"/>
      </w:rPr>
      <w:tblPr/>
      <w:tcPr>
        <w:tcBorders>
          <w:top w:val="nil"/>
          <w:left w:val="nil"/>
          <w:bottom w:val="single" w:sz="18" w:space="0" w:color="auto"/>
          <w:right w:val="nil"/>
          <w:insideH w:val="nil"/>
          <w:insideV w:val="nil"/>
        </w:tcBorders>
        <w:shd w:val="clear" w:color="auto" w:fill="4BACC6"/>
      </w:tcPr>
    </w:tblStylePr>
    <w:tblStylePr w:type="lastCol">
      <w:rPr>
        <w:b/>
        <w:bCs/>
        <w:color w:val="000000"/>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000000"/>
      </w:rPr>
      <w:tblPr/>
      <w:tcPr>
        <w:tcBorders>
          <w:top w:val="nil"/>
          <w:left w:val="nil"/>
          <w:bottom w:val="single" w:sz="18" w:space="0" w:color="auto"/>
          <w:right w:val="nil"/>
          <w:insideH w:val="nil"/>
          <w:insideV w:val="nil"/>
        </w:tcBorders>
        <w:shd w:val="clear" w:color="auto" w:fill="F79646"/>
      </w:tcPr>
    </w:tblStylePr>
    <w:tblStylePr w:type="lastCol">
      <w:rPr>
        <w:b/>
        <w:bCs/>
        <w:color w:val="000000"/>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customStyle="1" w:styleId="rednialista1">
    <w:name w:val="Medium List 1"/>
    <w:basedOn w:val="Standardowy"/>
    <w:uiPriority w:val="65"/>
    <w:rsid w:val="00CB0664"/>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000000"/>
        </w:tcBorders>
      </w:tcPr>
    </w:tblStylePr>
    <w:tblStylePr w:type="lastRow">
      <w:rPr>
        <w:b/>
        <w:bCs/>
        <w:color w:val="000000"/>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rednialista1akcent1">
    <w:name w:val="Medium List 1 Accent 1"/>
    <w:basedOn w:val="Standardowy"/>
    <w:uiPriority w:val="65"/>
    <w:rsid w:val="00CB0664"/>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4F81BD"/>
        </w:tcBorders>
      </w:tcPr>
    </w:tblStylePr>
    <w:tblStylePr w:type="lastRow">
      <w:rPr>
        <w:b/>
        <w:bCs/>
        <w:color w:val="000000"/>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rednialista1akcent2">
    <w:name w:val="Medium List 1 Accent 2"/>
    <w:basedOn w:val="Standardowy"/>
    <w:uiPriority w:val="65"/>
    <w:rsid w:val="00CB0664"/>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C0504D"/>
        </w:tcBorders>
      </w:tcPr>
    </w:tblStylePr>
    <w:tblStylePr w:type="lastRow">
      <w:rPr>
        <w:b/>
        <w:bCs/>
        <w:color w:val="000000"/>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rednialista1akcent3">
    <w:name w:val="Medium List 1 Accent 3"/>
    <w:basedOn w:val="Standardowy"/>
    <w:uiPriority w:val="65"/>
    <w:rsid w:val="00CB0664"/>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9BBB59"/>
        </w:tcBorders>
      </w:tcPr>
    </w:tblStylePr>
    <w:tblStylePr w:type="lastRow">
      <w:rPr>
        <w:b/>
        <w:bCs/>
        <w:color w:val="000000"/>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rednialista1akcent4">
    <w:name w:val="Medium List 1 Accent 4"/>
    <w:basedOn w:val="Standardowy"/>
    <w:uiPriority w:val="65"/>
    <w:rsid w:val="00CB0664"/>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8064A2"/>
        </w:tcBorders>
      </w:tcPr>
    </w:tblStylePr>
    <w:tblStylePr w:type="lastRow">
      <w:rPr>
        <w:b/>
        <w:bCs/>
        <w:color w:val="000000"/>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rednialista1akcent5">
    <w:name w:val="Medium List 1 Accent 5"/>
    <w:basedOn w:val="Standardowy"/>
    <w:uiPriority w:val="65"/>
    <w:rsid w:val="00CB0664"/>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4BACC6"/>
        </w:tcBorders>
      </w:tcPr>
    </w:tblStylePr>
    <w:tblStylePr w:type="lastRow">
      <w:rPr>
        <w:b/>
        <w:bCs/>
        <w:color w:val="000000"/>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rednialista1akcent6">
    <w:name w:val="Medium List 1 Accent 6"/>
    <w:basedOn w:val="Standardowy"/>
    <w:uiPriority w:val="65"/>
    <w:rsid w:val="00CB0664"/>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F79646"/>
        </w:tcBorders>
      </w:tcPr>
    </w:tblStylePr>
    <w:tblStylePr w:type="lastRow">
      <w:rPr>
        <w:b/>
        <w:bCs/>
        <w:color w:val="000000"/>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customStyle="1" w:styleId="rednialista2">
    <w:name w:val="Medium List 2"/>
    <w:basedOn w:val="Standardowy"/>
    <w:uiPriority w:val="66"/>
    <w:rsid w:val="00CB0664"/>
    <w:rPr>
      <w:rFonts w:ascii="Calibri" w:eastAsia="MS Gothic" w:hAnsi="Calibri"/>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rednialista2akcent1">
    <w:name w:val="Medium List 2 Accent 1"/>
    <w:basedOn w:val="Standardowy"/>
    <w:uiPriority w:val="66"/>
    <w:rsid w:val="00CB0664"/>
    <w:rPr>
      <w:rFonts w:ascii="Calibri" w:eastAsia="MS Gothic" w:hAnsi="Calibri"/>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rednialista2akcent2">
    <w:name w:val="Medium List 2 Accent 2"/>
    <w:basedOn w:val="Standardowy"/>
    <w:uiPriority w:val="66"/>
    <w:rsid w:val="00CB0664"/>
    <w:rPr>
      <w:rFonts w:ascii="Calibri" w:eastAsia="MS Gothic" w:hAnsi="Calibri"/>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rednialista2akcent3">
    <w:name w:val="Medium List 2 Accent 3"/>
    <w:basedOn w:val="Standardowy"/>
    <w:uiPriority w:val="66"/>
    <w:rsid w:val="00CB0664"/>
    <w:rPr>
      <w:rFonts w:ascii="Calibri" w:eastAsia="MS Gothic" w:hAnsi="Calibri"/>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rednialista2akcent4">
    <w:name w:val="Medium List 2 Accent 4"/>
    <w:basedOn w:val="Standardowy"/>
    <w:uiPriority w:val="66"/>
    <w:rsid w:val="00CB0664"/>
    <w:rPr>
      <w:rFonts w:ascii="Calibri" w:eastAsia="MS Gothic" w:hAnsi="Calibri"/>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rednialista2akcent5">
    <w:name w:val="Medium List 2 Accent 5"/>
    <w:basedOn w:val="Standardowy"/>
    <w:uiPriority w:val="66"/>
    <w:rsid w:val="00CB0664"/>
    <w:rPr>
      <w:rFonts w:ascii="Calibri" w:eastAsia="MS Gothic" w:hAnsi="Calibri"/>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rednialista2akcent6">
    <w:name w:val="Medium List 2 Accent 6"/>
    <w:basedOn w:val="Standardowy"/>
    <w:uiPriority w:val="66"/>
    <w:rsid w:val="00CB0664"/>
    <w:rPr>
      <w:rFonts w:ascii="Calibri" w:eastAsia="MS Gothic" w:hAnsi="Calibri"/>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customStyle="1" w:styleId="redniasiatka1">
    <w:name w:val="Medium Grid 1"/>
    <w:basedOn w:val="Standardowy"/>
    <w:uiPriority w:val="67"/>
    <w:rsid w:val="00CB0664"/>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redniasiatka1akcent1">
    <w:name w:val="Medium Grid 1 Accent 1"/>
    <w:basedOn w:val="Standardowy"/>
    <w:uiPriority w:val="67"/>
    <w:rsid w:val="00CB0664"/>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redniasiatka1akcent2">
    <w:name w:val="Medium Grid 1 Accent 2"/>
    <w:basedOn w:val="Standardowy"/>
    <w:uiPriority w:val="67"/>
    <w:rsid w:val="00CB0664"/>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redniasiatka1akcent3">
    <w:name w:val="Medium Grid 1 Accent 3"/>
    <w:basedOn w:val="Standardowy"/>
    <w:uiPriority w:val="67"/>
    <w:rsid w:val="00CB0664"/>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redniasiatka1akcent4">
    <w:name w:val="Medium Grid 1 Accent 4"/>
    <w:basedOn w:val="Standardowy"/>
    <w:uiPriority w:val="67"/>
    <w:rsid w:val="00CB0664"/>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redniasiatka1akcent5">
    <w:name w:val="Medium Grid 1 Accent 5"/>
    <w:basedOn w:val="Standardowy"/>
    <w:uiPriority w:val="67"/>
    <w:rsid w:val="00CB0664"/>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redniasiatka1akcent6">
    <w:name w:val="Medium Grid 1 Accent 6"/>
    <w:basedOn w:val="Standardowy"/>
    <w:uiPriority w:val="67"/>
    <w:rsid w:val="00CB0664"/>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customStyle="1" w:styleId="redniasiatka2">
    <w:name w:val="Medium Grid 2"/>
    <w:basedOn w:val="Standardowy"/>
    <w:uiPriority w:val="68"/>
    <w:rsid w:val="00CB0664"/>
    <w:rPr>
      <w:rFonts w:ascii="Calibri" w:eastAsia="MS Gothic" w:hAnsi="Calibri"/>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redniasiatka2akcent1">
    <w:name w:val="Medium Grid 2 Accent 1"/>
    <w:basedOn w:val="Standardowy"/>
    <w:uiPriority w:val="68"/>
    <w:rsid w:val="00CB0664"/>
    <w:rPr>
      <w:rFonts w:ascii="Calibri" w:eastAsia="MS Gothic" w:hAnsi="Calibri"/>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redniasiatka2akcent2">
    <w:name w:val="Medium Grid 2 Accent 2"/>
    <w:basedOn w:val="Standardowy"/>
    <w:uiPriority w:val="68"/>
    <w:rsid w:val="00CB0664"/>
    <w:rPr>
      <w:rFonts w:ascii="Calibri" w:eastAsia="MS Gothic" w:hAnsi="Calibri"/>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redniasiatka2akcent3">
    <w:name w:val="Medium Grid 2 Accent 3"/>
    <w:basedOn w:val="Standardowy"/>
    <w:uiPriority w:val="68"/>
    <w:rsid w:val="00CB0664"/>
    <w:rPr>
      <w:rFonts w:ascii="Calibri" w:eastAsia="MS Gothic" w:hAnsi="Calibri"/>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redniasiatka2akcent4">
    <w:name w:val="Medium Grid 2 Accent 4"/>
    <w:basedOn w:val="Standardowy"/>
    <w:uiPriority w:val="68"/>
    <w:rsid w:val="00CB0664"/>
    <w:rPr>
      <w:rFonts w:ascii="Calibri" w:eastAsia="MS Gothic" w:hAnsi="Calibri"/>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redniasiatka2akcent5">
    <w:name w:val="Medium Grid 2 Accent 5"/>
    <w:basedOn w:val="Standardowy"/>
    <w:uiPriority w:val="68"/>
    <w:rsid w:val="00CB0664"/>
    <w:rPr>
      <w:rFonts w:ascii="Calibri" w:eastAsia="MS Gothic" w:hAnsi="Calibri"/>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redniasiatka2akcent6">
    <w:name w:val="Medium Grid 2 Accent 6"/>
    <w:basedOn w:val="Standardowy"/>
    <w:uiPriority w:val="68"/>
    <w:rsid w:val="00CB0664"/>
    <w:rPr>
      <w:rFonts w:ascii="Calibri" w:eastAsia="MS Gothic" w:hAnsi="Calibri"/>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redniasiatka3">
    <w:name w:val="Medium Grid 3"/>
    <w:basedOn w:val="Standardowy"/>
    <w:uiPriority w:val="69"/>
    <w:rsid w:val="00CB066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000000"/>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000000"/>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000000"/>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000000"/>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redniasiatka3akcent1">
    <w:name w:val="Medium Grid 3 Accent 1"/>
    <w:basedOn w:val="Standardowy"/>
    <w:uiPriority w:val="69"/>
    <w:rsid w:val="00CB066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000000"/>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000000"/>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000000"/>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000000"/>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redniasiatka3akcent2">
    <w:name w:val="Medium Grid 3 Accent 2"/>
    <w:basedOn w:val="Standardowy"/>
    <w:uiPriority w:val="69"/>
    <w:rsid w:val="00CB066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000000"/>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000000"/>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000000"/>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000000"/>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redniasiatka3akcent3">
    <w:name w:val="Medium Grid 3 Accent 3"/>
    <w:basedOn w:val="Standardowy"/>
    <w:uiPriority w:val="69"/>
    <w:rsid w:val="00CB066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000000"/>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000000"/>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000000"/>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000000"/>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redniasiatka3akcent4">
    <w:name w:val="Medium Grid 3 Accent 4"/>
    <w:basedOn w:val="Standardowy"/>
    <w:uiPriority w:val="69"/>
    <w:rsid w:val="00CB066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000000"/>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000000"/>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000000"/>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000000"/>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redniasiatka3akcent5">
    <w:name w:val="Medium Grid 3 Accent 5"/>
    <w:basedOn w:val="Standardowy"/>
    <w:uiPriority w:val="69"/>
    <w:rsid w:val="00CB066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000000"/>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000000"/>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000000"/>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000000"/>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redniasiatka3akcent6">
    <w:name w:val="Medium Grid 3 Accent 6"/>
    <w:basedOn w:val="Standardowy"/>
    <w:uiPriority w:val="69"/>
    <w:rsid w:val="00CB066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000000"/>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000000"/>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000000"/>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000000"/>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Ciemnalista">
    <w:name w:val="Dark List"/>
    <w:basedOn w:val="Standardowy"/>
    <w:uiPriority w:val="70"/>
    <w:rsid w:val="00CB0664"/>
    <w:rPr>
      <w:color w:val="000000"/>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Ciemnalista2akcent1">
    <w:name w:val="Dark List Accent 1"/>
    <w:basedOn w:val="Standardowy"/>
    <w:uiPriority w:val="70"/>
    <w:rsid w:val="00CB0664"/>
    <w:rPr>
      <w:color w:val="000000"/>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Ciemnalistaakcent2">
    <w:name w:val="Dark List Accent 2"/>
    <w:basedOn w:val="Standardowy"/>
    <w:uiPriority w:val="70"/>
    <w:rsid w:val="00CB0664"/>
    <w:rPr>
      <w:color w:val="000000"/>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Ciemnalistaakcent3">
    <w:name w:val="Dark List Accent 3"/>
    <w:basedOn w:val="Standardowy"/>
    <w:uiPriority w:val="70"/>
    <w:rsid w:val="00CB0664"/>
    <w:rPr>
      <w:color w:val="000000"/>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Ciemnalistaakcent4">
    <w:name w:val="Dark List Accent 4"/>
    <w:basedOn w:val="Standardowy"/>
    <w:uiPriority w:val="70"/>
    <w:rsid w:val="00CB0664"/>
    <w:rPr>
      <w:color w:val="000000"/>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Ciemnalistaakcent5">
    <w:name w:val="Dark List Accent 5"/>
    <w:basedOn w:val="Standardowy"/>
    <w:uiPriority w:val="70"/>
    <w:rsid w:val="00CB0664"/>
    <w:rPr>
      <w:color w:val="000000"/>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Ciemnalistaakcent6">
    <w:name w:val="Dark List Accent 6"/>
    <w:basedOn w:val="Standardowy"/>
    <w:uiPriority w:val="70"/>
    <w:rsid w:val="00CB0664"/>
    <w:rPr>
      <w:color w:val="000000"/>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customStyle="1" w:styleId="Kolorowecieniowanie">
    <w:name w:val="Colorful Shading"/>
    <w:basedOn w:val="Standardowy"/>
    <w:uiPriority w:val="71"/>
    <w:rsid w:val="00CB0664"/>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000000"/>
      </w:rPr>
      <w:tblPr/>
      <w:tcPr>
        <w:tcBorders>
          <w:top w:val="single" w:sz="6" w:space="0" w:color="FFFFFF"/>
        </w:tcBorders>
        <w:shd w:val="clear" w:color="auto" w:fill="000000"/>
      </w:tcPr>
    </w:tblStylePr>
    <w:tblStylePr w:type="firstCol">
      <w:rPr>
        <w:color w:val="000000"/>
      </w:rPr>
      <w:tblPr/>
      <w:tcPr>
        <w:tcBorders>
          <w:top w:val="nil"/>
          <w:left w:val="nil"/>
          <w:bottom w:val="nil"/>
          <w:right w:val="nil"/>
          <w:insideH w:val="single" w:sz="4" w:space="0" w:color="000000"/>
          <w:insideV w:val="nil"/>
        </w:tcBorders>
        <w:shd w:val="clear" w:color="auto" w:fill="000000"/>
      </w:tcPr>
    </w:tblStylePr>
    <w:tblStylePr w:type="lastCol">
      <w:rPr>
        <w:color w:val="000000"/>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Kolorowecieniowanieakcent1">
    <w:name w:val="Colorful Shading Accent 1"/>
    <w:basedOn w:val="Standardowy"/>
    <w:uiPriority w:val="71"/>
    <w:rsid w:val="00CB0664"/>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000000"/>
      </w:rPr>
      <w:tblPr/>
      <w:tcPr>
        <w:tcBorders>
          <w:top w:val="single" w:sz="6" w:space="0" w:color="FFFFFF"/>
        </w:tcBorders>
        <w:shd w:val="clear" w:color="auto" w:fill="2C4C74"/>
      </w:tcPr>
    </w:tblStylePr>
    <w:tblStylePr w:type="firstCol">
      <w:rPr>
        <w:color w:val="000000"/>
      </w:rPr>
      <w:tblPr/>
      <w:tcPr>
        <w:tcBorders>
          <w:top w:val="nil"/>
          <w:left w:val="nil"/>
          <w:bottom w:val="nil"/>
          <w:right w:val="nil"/>
          <w:insideH w:val="single" w:sz="4" w:space="0" w:color="2C4C74"/>
          <w:insideV w:val="nil"/>
        </w:tcBorders>
        <w:shd w:val="clear" w:color="auto" w:fill="2C4C74"/>
      </w:tcPr>
    </w:tblStylePr>
    <w:tblStylePr w:type="lastCol">
      <w:rPr>
        <w:color w:val="000000"/>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Kolorowecieniowanieakcent2">
    <w:name w:val="Colorful Shading Accent 2"/>
    <w:basedOn w:val="Standardowy"/>
    <w:uiPriority w:val="71"/>
    <w:rsid w:val="00CB0664"/>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000000"/>
      </w:rPr>
      <w:tblPr/>
      <w:tcPr>
        <w:tcBorders>
          <w:top w:val="single" w:sz="6" w:space="0" w:color="FFFFFF"/>
        </w:tcBorders>
        <w:shd w:val="clear" w:color="auto" w:fill="772C2A"/>
      </w:tcPr>
    </w:tblStylePr>
    <w:tblStylePr w:type="firstCol">
      <w:rPr>
        <w:color w:val="000000"/>
      </w:rPr>
      <w:tblPr/>
      <w:tcPr>
        <w:tcBorders>
          <w:top w:val="nil"/>
          <w:left w:val="nil"/>
          <w:bottom w:val="nil"/>
          <w:right w:val="nil"/>
          <w:insideH w:val="single" w:sz="4" w:space="0" w:color="772C2A"/>
          <w:insideV w:val="nil"/>
        </w:tcBorders>
        <w:shd w:val="clear" w:color="auto" w:fill="772C2A"/>
      </w:tcPr>
    </w:tblStylePr>
    <w:tblStylePr w:type="lastCol">
      <w:rPr>
        <w:color w:val="000000"/>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Kolorowecieniowanieakcent3">
    <w:name w:val="Colorful Shading Accent 3"/>
    <w:basedOn w:val="Standardowy"/>
    <w:uiPriority w:val="71"/>
    <w:rsid w:val="00CB0664"/>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000000"/>
      </w:rPr>
      <w:tblPr/>
      <w:tcPr>
        <w:tcBorders>
          <w:top w:val="single" w:sz="6" w:space="0" w:color="FFFFFF"/>
        </w:tcBorders>
        <w:shd w:val="clear" w:color="auto" w:fill="5E7530"/>
      </w:tcPr>
    </w:tblStylePr>
    <w:tblStylePr w:type="firstCol">
      <w:rPr>
        <w:color w:val="000000"/>
      </w:rPr>
      <w:tblPr/>
      <w:tcPr>
        <w:tcBorders>
          <w:top w:val="nil"/>
          <w:left w:val="nil"/>
          <w:bottom w:val="nil"/>
          <w:right w:val="nil"/>
          <w:insideH w:val="single" w:sz="4" w:space="0" w:color="5E7530"/>
          <w:insideV w:val="nil"/>
        </w:tcBorders>
        <w:shd w:val="clear" w:color="auto" w:fill="5E7530"/>
      </w:tcPr>
    </w:tblStylePr>
    <w:tblStylePr w:type="lastCol">
      <w:rPr>
        <w:color w:val="000000"/>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Kolorowecieniowanieakcent4">
    <w:name w:val="Colorful Shading Accent 4"/>
    <w:basedOn w:val="Standardowy"/>
    <w:uiPriority w:val="71"/>
    <w:rsid w:val="00CB0664"/>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000000"/>
      </w:rPr>
      <w:tblPr/>
      <w:tcPr>
        <w:tcBorders>
          <w:top w:val="single" w:sz="6" w:space="0" w:color="FFFFFF"/>
        </w:tcBorders>
        <w:shd w:val="clear" w:color="auto" w:fill="4C3B62"/>
      </w:tcPr>
    </w:tblStylePr>
    <w:tblStylePr w:type="firstCol">
      <w:rPr>
        <w:color w:val="000000"/>
      </w:rPr>
      <w:tblPr/>
      <w:tcPr>
        <w:tcBorders>
          <w:top w:val="nil"/>
          <w:left w:val="nil"/>
          <w:bottom w:val="nil"/>
          <w:right w:val="nil"/>
          <w:insideH w:val="single" w:sz="4" w:space="0" w:color="4C3B62"/>
          <w:insideV w:val="nil"/>
        </w:tcBorders>
        <w:shd w:val="clear" w:color="auto" w:fill="4C3B62"/>
      </w:tcPr>
    </w:tblStylePr>
    <w:tblStylePr w:type="lastCol">
      <w:rPr>
        <w:color w:val="000000"/>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Kolorowecieniowanieakcent5">
    <w:name w:val="Colorful Shading Accent 5"/>
    <w:basedOn w:val="Standardowy"/>
    <w:uiPriority w:val="71"/>
    <w:rsid w:val="00CB0664"/>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000000"/>
      </w:rPr>
      <w:tblPr/>
      <w:tcPr>
        <w:tcBorders>
          <w:top w:val="single" w:sz="6" w:space="0" w:color="FFFFFF"/>
        </w:tcBorders>
        <w:shd w:val="clear" w:color="auto" w:fill="276A7C"/>
      </w:tcPr>
    </w:tblStylePr>
    <w:tblStylePr w:type="firstCol">
      <w:rPr>
        <w:color w:val="000000"/>
      </w:rPr>
      <w:tblPr/>
      <w:tcPr>
        <w:tcBorders>
          <w:top w:val="nil"/>
          <w:left w:val="nil"/>
          <w:bottom w:val="nil"/>
          <w:right w:val="nil"/>
          <w:insideH w:val="single" w:sz="4" w:space="0" w:color="276A7C"/>
          <w:insideV w:val="nil"/>
        </w:tcBorders>
        <w:shd w:val="clear" w:color="auto" w:fill="276A7C"/>
      </w:tcPr>
    </w:tblStylePr>
    <w:tblStylePr w:type="lastCol">
      <w:rPr>
        <w:color w:val="000000"/>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Kolorowecieniowanieakcent6">
    <w:name w:val="Colorful Shading Accent 6"/>
    <w:basedOn w:val="Standardowy"/>
    <w:uiPriority w:val="71"/>
    <w:rsid w:val="00CB0664"/>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000000"/>
      </w:rPr>
      <w:tblPr/>
      <w:tcPr>
        <w:tcBorders>
          <w:top w:val="single" w:sz="6" w:space="0" w:color="FFFFFF"/>
        </w:tcBorders>
        <w:shd w:val="clear" w:color="auto" w:fill="B65608"/>
      </w:tcPr>
    </w:tblStylePr>
    <w:tblStylePr w:type="firstCol">
      <w:rPr>
        <w:color w:val="000000"/>
      </w:rPr>
      <w:tblPr/>
      <w:tcPr>
        <w:tcBorders>
          <w:top w:val="nil"/>
          <w:left w:val="nil"/>
          <w:bottom w:val="nil"/>
          <w:right w:val="nil"/>
          <w:insideH w:val="single" w:sz="4" w:space="0" w:color="B65608"/>
          <w:insideV w:val="nil"/>
        </w:tcBorders>
        <w:shd w:val="clear" w:color="auto" w:fill="B65608"/>
      </w:tcPr>
    </w:tblStylePr>
    <w:tblStylePr w:type="lastCol">
      <w:rPr>
        <w:color w:val="000000"/>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customStyle="1" w:styleId="Kolorowalista">
    <w:name w:val="Colorful List"/>
    <w:basedOn w:val="Standardowy"/>
    <w:uiPriority w:val="72"/>
    <w:rsid w:val="00CB0664"/>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000000"/>
      </w:rPr>
      <w:tblPr/>
      <w:tcPr>
        <w:tcBorders>
          <w:bottom w:val="single" w:sz="12" w:space="0" w:color="FFFFFF"/>
        </w:tcBorders>
        <w:shd w:val="clear" w:color="auto" w:fill="9E3A38"/>
      </w:tcPr>
    </w:tblStylePr>
    <w:tblStylePr w:type="lastRow">
      <w:rPr>
        <w:b/>
        <w:bCs/>
        <w:color w:val="00000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Kolorowalistaakcent1">
    <w:name w:val="Colorful List Accent 1"/>
    <w:basedOn w:val="Standardowy"/>
    <w:uiPriority w:val="72"/>
    <w:rsid w:val="00CB0664"/>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000000"/>
      </w:rPr>
      <w:tblPr/>
      <w:tcPr>
        <w:tcBorders>
          <w:bottom w:val="single" w:sz="12" w:space="0" w:color="FFFFFF"/>
        </w:tcBorders>
        <w:shd w:val="clear" w:color="auto" w:fill="9E3A38"/>
      </w:tcPr>
    </w:tblStylePr>
    <w:tblStylePr w:type="lastRow">
      <w:rPr>
        <w:b/>
        <w:bCs/>
        <w:color w:val="00000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Kolorowalistaakcent2">
    <w:name w:val="Colorful List Accent 2"/>
    <w:basedOn w:val="Standardowy"/>
    <w:uiPriority w:val="72"/>
    <w:rsid w:val="00CB0664"/>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000000"/>
      </w:rPr>
      <w:tblPr/>
      <w:tcPr>
        <w:tcBorders>
          <w:bottom w:val="single" w:sz="12" w:space="0" w:color="FFFFFF"/>
        </w:tcBorders>
        <w:shd w:val="clear" w:color="auto" w:fill="9E3A38"/>
      </w:tcPr>
    </w:tblStylePr>
    <w:tblStylePr w:type="lastRow">
      <w:rPr>
        <w:b/>
        <w:bCs/>
        <w:color w:val="00000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Kolorowalistaakcent3">
    <w:name w:val="Colorful List Accent 3"/>
    <w:basedOn w:val="Standardowy"/>
    <w:uiPriority w:val="72"/>
    <w:rsid w:val="00CB0664"/>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000000"/>
      </w:rPr>
      <w:tblPr/>
      <w:tcPr>
        <w:tcBorders>
          <w:bottom w:val="single" w:sz="12" w:space="0" w:color="FFFFFF"/>
        </w:tcBorders>
        <w:shd w:val="clear" w:color="auto" w:fill="664E82"/>
      </w:tcPr>
    </w:tblStylePr>
    <w:tblStylePr w:type="lastRow">
      <w:rPr>
        <w:b/>
        <w:bCs/>
        <w:color w:val="00000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Kolorowalistaakcent4">
    <w:name w:val="Colorful List Accent 4"/>
    <w:basedOn w:val="Standardowy"/>
    <w:uiPriority w:val="72"/>
    <w:rsid w:val="00CB0664"/>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000000"/>
      </w:rPr>
      <w:tblPr/>
      <w:tcPr>
        <w:tcBorders>
          <w:bottom w:val="single" w:sz="12" w:space="0" w:color="FFFFFF"/>
        </w:tcBorders>
        <w:shd w:val="clear" w:color="auto" w:fill="7E9C40"/>
      </w:tcPr>
    </w:tblStylePr>
    <w:tblStylePr w:type="lastRow">
      <w:rPr>
        <w:b/>
        <w:bCs/>
        <w:color w:val="00000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Kolorowalistaakcent5">
    <w:name w:val="Colorful List Accent 5"/>
    <w:basedOn w:val="Standardowy"/>
    <w:uiPriority w:val="72"/>
    <w:rsid w:val="00CB0664"/>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000000"/>
      </w:rPr>
      <w:tblPr/>
      <w:tcPr>
        <w:tcBorders>
          <w:bottom w:val="single" w:sz="12" w:space="0" w:color="FFFFFF"/>
        </w:tcBorders>
        <w:shd w:val="clear" w:color="auto" w:fill="F2730A"/>
      </w:tcPr>
    </w:tblStylePr>
    <w:tblStylePr w:type="lastRow">
      <w:rPr>
        <w:b/>
        <w:bCs/>
        <w:color w:val="00000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Kolorowalistaakcent6">
    <w:name w:val="Colorful List Accent 6"/>
    <w:basedOn w:val="Standardowy"/>
    <w:uiPriority w:val="72"/>
    <w:rsid w:val="00CB0664"/>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000000"/>
      </w:rPr>
      <w:tblPr/>
      <w:tcPr>
        <w:tcBorders>
          <w:bottom w:val="single" w:sz="12" w:space="0" w:color="FFFFFF"/>
        </w:tcBorders>
        <w:shd w:val="clear" w:color="auto" w:fill="348DA5"/>
      </w:tcPr>
    </w:tblStylePr>
    <w:tblStylePr w:type="lastRow">
      <w:rPr>
        <w:b/>
        <w:bCs/>
        <w:color w:val="00000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Kolorowasiatka">
    <w:name w:val="Colorful Grid"/>
    <w:basedOn w:val="Standardowy"/>
    <w:uiPriority w:val="73"/>
    <w:rsid w:val="00CB066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000000"/>
      </w:rPr>
      <w:tblPr/>
      <w:tcPr>
        <w:shd w:val="clear" w:color="auto" w:fill="000000"/>
      </w:tcPr>
    </w:tblStylePr>
    <w:tblStylePr w:type="lastCol">
      <w:rPr>
        <w:color w:val="000000"/>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Kolorowasiatkaakcent1">
    <w:name w:val="Colorful Grid Accent 1"/>
    <w:basedOn w:val="Standardowy"/>
    <w:uiPriority w:val="73"/>
    <w:rsid w:val="00CB066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000000"/>
      </w:rPr>
      <w:tblPr/>
      <w:tcPr>
        <w:shd w:val="clear" w:color="auto" w:fill="365F91"/>
      </w:tcPr>
    </w:tblStylePr>
    <w:tblStylePr w:type="lastCol">
      <w:rPr>
        <w:color w:val="000000"/>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Kolorowasiatkaakcent2">
    <w:name w:val="Colorful Grid Accent 2"/>
    <w:basedOn w:val="Standardowy"/>
    <w:uiPriority w:val="73"/>
    <w:rsid w:val="00CB066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000000"/>
      </w:rPr>
      <w:tblPr/>
      <w:tcPr>
        <w:shd w:val="clear" w:color="auto" w:fill="943634"/>
      </w:tcPr>
    </w:tblStylePr>
    <w:tblStylePr w:type="lastCol">
      <w:rPr>
        <w:color w:val="000000"/>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Kolorowasiatkaakcent3">
    <w:name w:val="Colorful Grid Accent 3"/>
    <w:basedOn w:val="Standardowy"/>
    <w:uiPriority w:val="73"/>
    <w:rsid w:val="00CB066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000000"/>
      </w:rPr>
      <w:tblPr/>
      <w:tcPr>
        <w:shd w:val="clear" w:color="auto" w:fill="76923C"/>
      </w:tcPr>
    </w:tblStylePr>
    <w:tblStylePr w:type="lastCol">
      <w:rPr>
        <w:color w:val="000000"/>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Kolorowasiatkaakcent4">
    <w:name w:val="Colorful Grid Accent 4"/>
    <w:basedOn w:val="Standardowy"/>
    <w:uiPriority w:val="73"/>
    <w:rsid w:val="00CB066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000000"/>
      </w:rPr>
      <w:tblPr/>
      <w:tcPr>
        <w:shd w:val="clear" w:color="auto" w:fill="5F497A"/>
      </w:tcPr>
    </w:tblStylePr>
    <w:tblStylePr w:type="lastCol">
      <w:rPr>
        <w:color w:val="000000"/>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Kolorowasiatkaakcent5">
    <w:name w:val="Colorful Grid Accent 5"/>
    <w:basedOn w:val="Standardowy"/>
    <w:uiPriority w:val="73"/>
    <w:rsid w:val="00CB066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000000"/>
      </w:rPr>
      <w:tblPr/>
      <w:tcPr>
        <w:shd w:val="clear" w:color="auto" w:fill="31849B"/>
      </w:tcPr>
    </w:tblStylePr>
    <w:tblStylePr w:type="lastCol">
      <w:rPr>
        <w:color w:val="000000"/>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Kolorowasiatkaakcent6">
    <w:name w:val="Colorful Grid Accent 6"/>
    <w:basedOn w:val="Standardowy"/>
    <w:uiPriority w:val="73"/>
    <w:rsid w:val="00CB066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000000"/>
      </w:rPr>
      <w:tblPr/>
      <w:tcPr>
        <w:shd w:val="clear" w:color="auto" w:fill="E36C0A"/>
      </w:tcPr>
    </w:tblStylePr>
    <w:tblStylePr w:type="lastCol">
      <w:rPr>
        <w:color w:val="000000"/>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character" w:styleId="Odwoaniedokomentarza">
    <w:name w:val="annotation reference"/>
    <w:basedOn w:val="Domylnaczcionkaakapitu"/>
    <w:uiPriority w:val="99"/>
    <w:semiHidden/>
    <w:unhideWhenUsed/>
    <w:rsid w:val="009F3778"/>
    <w:rPr>
      <w:sz w:val="16"/>
      <w:szCs w:val="16"/>
    </w:rPr>
  </w:style>
  <w:style w:type="paragraph" w:styleId="Tekstkomentarza">
    <w:name w:val="annotation text"/>
    <w:basedOn w:val="Normalny"/>
    <w:link w:val="TekstkomentarzaZnak"/>
    <w:uiPriority w:val="99"/>
    <w:semiHidden/>
    <w:unhideWhenUsed/>
    <w:rsid w:val="009F3778"/>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9F3778"/>
    <w:rPr>
      <w:rFonts w:ascii="Calibri" w:hAnsi="Calibri"/>
      <w:lang w:val="en-US" w:eastAsia="en-US"/>
    </w:rPr>
  </w:style>
  <w:style w:type="paragraph" w:styleId="Tematkomentarza">
    <w:name w:val="annotation subject"/>
    <w:basedOn w:val="Tekstkomentarza"/>
    <w:next w:val="Tekstkomentarza"/>
    <w:link w:val="TematkomentarzaZnak"/>
    <w:uiPriority w:val="99"/>
    <w:semiHidden/>
    <w:unhideWhenUsed/>
    <w:rsid w:val="009F3778"/>
    <w:rPr>
      <w:b/>
      <w:bCs/>
    </w:rPr>
  </w:style>
  <w:style w:type="character" w:customStyle="1" w:styleId="TematkomentarzaZnak">
    <w:name w:val="Temat komentarza Znak"/>
    <w:basedOn w:val="TekstkomentarzaZnak"/>
    <w:link w:val="Tematkomentarza"/>
    <w:uiPriority w:val="99"/>
    <w:semiHidden/>
    <w:rsid w:val="009F3778"/>
    <w:rPr>
      <w:b/>
      <w:bCs/>
    </w:rPr>
  </w:style>
  <w:style w:type="paragraph" w:styleId="Tekstdymka">
    <w:name w:val="Balloon Text"/>
    <w:basedOn w:val="Normalny"/>
    <w:link w:val="TekstdymkaZnak"/>
    <w:uiPriority w:val="99"/>
    <w:semiHidden/>
    <w:unhideWhenUsed/>
    <w:rsid w:val="009F3778"/>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9F3778"/>
    <w:rPr>
      <w:rFonts w:ascii="Tahoma" w:hAnsi="Tahoma" w:cs="Tahoma"/>
      <w:sz w:val="16"/>
      <w:szCs w:val="16"/>
      <w:lang w:val="en-US" w:eastAsia="en-US"/>
    </w:rPr>
  </w:style>
</w:styles>
</file>

<file path=word/webSettings.xml><?xml version="1.0" encoding="utf-8"?>
<w:webSettings xmlns:r="http://schemas.openxmlformats.org/officeDocument/2006/relationships" xmlns:w="http://schemas.openxmlformats.org/wordprocessingml/2006/main">
  <w:allowPNG/>
  <w:targetScreenSz w:val="1024x768"/>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 Id="rIdLegal151CF" Type="http://schemas.openxmlformats.org/officeDocument/2006/relationships/hyperlink" Target="https://www.cloudflare.com/cloudflare-customer-dpa/" TargetMode="External"/><Relationship Id="rIdLegal151CF_LIST" Type="http://schemas.openxmlformats.org/officeDocument/2006/relationships/hyperlink" Target="https://www.cloudflare.com/gdpr/subprocessors/"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11</Pages>
  <Words>3231</Words>
  <Characters>19389</Characters>
  <Application>Microsoft Office Word</Application>
  <DocSecurity>0</DocSecurity>
  <Lines>161</Lines>
  <Paragraphs>45</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DPA IntegrityPhase – ACTIVE_CANDIDATE_V1.2</vt:lpstr>
      <vt:lpstr/>
    </vt:vector>
  </TitlesOfParts>
  <Company/>
  <LinksUpToDate>false</LinksUpToDate>
  <CharactersWithSpaces>22575</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DPA IntegrityPhase - ACTIVE CANDIDATE V1.2</dc:title>
  <dc:subject>IntegrityPhase - dokument prawny B2B/API - wersja 1.2</dc:subject>
  <dc:creator/>
  <dc:description>Aktywny kandydat V1.2 – pilot B2B</dc:description>
  <cp:lastModifiedBy>IntegrityPhase</cp:lastModifiedBy>
  <cp:revision>3</cp:revision>
  <dcterms:created xsi:type="dcterms:W3CDTF">2026-08-13T10:00:00Z</dcterms:created>
  <dcterms:modified xsi:type="dcterms:W3CDTF">2026-08-28T00:00:00Z</dcterms:modified>
  <cp:keywords>IntegrityPhase, B2B, API</cp:keywords>
</cp:coreProperties>
</file>